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F39354">
      <w:pPr>
        <w:ind w:firstLine="562"/>
        <w:jc w:val="center"/>
        <w:rPr>
          <w:rFonts w:ascii="仿宋" w:hAnsi="仿宋"/>
          <w:b/>
          <w:bCs/>
          <w:sz w:val="28"/>
          <w:szCs w:val="32"/>
        </w:rPr>
      </w:pPr>
      <w:bookmarkStart w:id="61" w:name="_GoBack"/>
      <w:bookmarkEnd w:id="61"/>
      <w:r>
        <w:rPr>
          <w:rFonts w:ascii="仿宋" w:hAnsi="仿宋"/>
          <w:b/>
          <w:bCs/>
          <w:sz w:val="28"/>
          <w:szCs w:val="32"/>
        </w:rPr>
        <w:drawing>
          <wp:anchor distT="0" distB="0" distL="114300" distR="114300" simplePos="0" relativeHeight="251659264" behindDoc="1" locked="0" layoutInCell="1" allowOverlap="1">
            <wp:simplePos x="0" y="0"/>
            <wp:positionH relativeFrom="column">
              <wp:posOffset>-1297305</wp:posOffset>
            </wp:positionH>
            <wp:positionV relativeFrom="paragraph">
              <wp:posOffset>-1408430</wp:posOffset>
            </wp:positionV>
            <wp:extent cx="7713980" cy="10906760"/>
            <wp:effectExtent l="0" t="0" r="1905" b="889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36432" cy="10938898"/>
                    </a:xfrm>
                    <a:prstGeom prst="rect">
                      <a:avLst/>
                    </a:prstGeom>
                  </pic:spPr>
                </pic:pic>
              </a:graphicData>
            </a:graphic>
          </wp:anchor>
        </w:drawing>
      </w:r>
    </w:p>
    <w:p w14:paraId="4D18DD8D">
      <w:pPr>
        <w:ind w:firstLine="562"/>
        <w:jc w:val="center"/>
        <w:rPr>
          <w:rFonts w:ascii="仿宋" w:hAnsi="仿宋"/>
          <w:b/>
          <w:bCs/>
          <w:sz w:val="28"/>
          <w:szCs w:val="32"/>
        </w:rPr>
      </w:pPr>
    </w:p>
    <w:p w14:paraId="4A1E170D">
      <w:pPr>
        <w:ind w:firstLine="562"/>
        <w:jc w:val="center"/>
        <w:rPr>
          <w:rFonts w:ascii="仿宋" w:hAnsi="仿宋"/>
          <w:b/>
          <w:bCs/>
          <w:sz w:val="28"/>
          <w:szCs w:val="32"/>
        </w:rPr>
      </w:pPr>
    </w:p>
    <w:p w14:paraId="6031C2C6">
      <w:pPr>
        <w:ind w:firstLine="562"/>
        <w:rPr>
          <w:rFonts w:ascii="仿宋" w:hAnsi="仿宋"/>
          <w:b/>
          <w:bCs/>
          <w:sz w:val="28"/>
          <w:szCs w:val="32"/>
        </w:rPr>
      </w:pPr>
    </w:p>
    <w:p w14:paraId="243E238B">
      <w:pPr>
        <w:spacing w:line="1000" w:lineRule="exact"/>
        <w:ind w:firstLine="0" w:firstLineChars="0"/>
        <w:jc w:val="center"/>
        <w:rPr>
          <w:rFonts w:ascii="微软雅黑" w:hAnsi="微软雅黑" w:eastAsia="微软雅黑"/>
          <w:b/>
          <w:bCs/>
          <w:color w:val="FFFFFF" w:themeColor="background1"/>
          <w:sz w:val="72"/>
          <w:szCs w:val="72"/>
          <w14:textFill>
            <w14:solidFill>
              <w14:schemeClr w14:val="bg1"/>
            </w14:solidFill>
          </w14:textFill>
        </w:rPr>
      </w:pPr>
      <w:bookmarkStart w:id="0" w:name="_Hlk131690023"/>
    </w:p>
    <w:p w14:paraId="7028449B">
      <w:pPr>
        <w:spacing w:line="1000" w:lineRule="exact"/>
        <w:ind w:firstLine="0" w:firstLineChars="0"/>
        <w:jc w:val="center"/>
        <w:rPr>
          <w:rFonts w:ascii="微软雅黑" w:hAnsi="微软雅黑" w:eastAsia="微软雅黑"/>
          <w:b/>
          <w:bCs/>
          <w:color w:val="FFFFFF" w:themeColor="background1"/>
          <w:sz w:val="72"/>
          <w:szCs w:val="72"/>
          <w14:textFill>
            <w14:solidFill>
              <w14:schemeClr w14:val="bg1"/>
            </w14:solidFill>
          </w14:textFill>
        </w:rPr>
      </w:pPr>
      <w:r>
        <w:rPr>
          <w:rFonts w:hint="eastAsia" w:ascii="微软雅黑" w:hAnsi="微软雅黑" w:eastAsia="微软雅黑"/>
          <w:b/>
          <w:bCs/>
          <w:color w:val="FFFFFF" w:themeColor="background1"/>
          <w:sz w:val="72"/>
          <w:szCs w:val="72"/>
          <w14:textFill>
            <w14:solidFill>
              <w14:schemeClr w14:val="bg1"/>
            </w14:solidFill>
          </w14:textFill>
        </w:rPr>
        <w:t>中国</w:t>
      </w:r>
      <w:r>
        <w:rPr>
          <w:rFonts w:ascii="微软雅黑" w:hAnsi="微软雅黑" w:eastAsia="微软雅黑"/>
          <w:b/>
          <w:bCs/>
          <w:color w:val="FFFFFF" w:themeColor="background1"/>
          <w:sz w:val="72"/>
          <w:szCs w:val="72"/>
          <w14:textFill>
            <w14:solidFill>
              <w14:schemeClr w14:val="bg1"/>
            </w14:solidFill>
          </w14:textFill>
        </w:rPr>
        <w:t>城市轨道交通</w:t>
      </w:r>
    </w:p>
    <w:p w14:paraId="07C8AD2C">
      <w:pPr>
        <w:spacing w:line="1000" w:lineRule="exact"/>
        <w:ind w:firstLine="0" w:firstLineChars="0"/>
        <w:jc w:val="center"/>
        <w:rPr>
          <w:rFonts w:ascii="微软雅黑" w:hAnsi="微软雅黑" w:eastAsia="微软雅黑"/>
          <w:b/>
          <w:bCs/>
          <w:color w:val="FFFFFF" w:themeColor="background1"/>
          <w:sz w:val="72"/>
          <w:szCs w:val="72"/>
          <w14:textFill>
            <w14:solidFill>
              <w14:schemeClr w14:val="bg1"/>
            </w14:solidFill>
          </w14:textFill>
        </w:rPr>
      </w:pPr>
      <w:r>
        <w:rPr>
          <w:rFonts w:ascii="微软雅黑" w:hAnsi="微软雅黑" w:eastAsia="微软雅黑"/>
          <w:b/>
          <w:bCs/>
          <w:color w:val="FFFFFF" w:themeColor="background1"/>
          <w:sz w:val="72"/>
          <w:szCs w:val="72"/>
          <w14:textFill>
            <w14:solidFill>
              <w14:schemeClr w14:val="bg1"/>
            </w14:solidFill>
          </w14:textFill>
        </w:rPr>
        <w:t>TOD监测月报</w:t>
      </w:r>
    </w:p>
    <w:p w14:paraId="3E906DFE">
      <w:pPr>
        <w:spacing w:line="1000" w:lineRule="exact"/>
        <w:ind w:firstLine="0" w:firstLineChars="0"/>
        <w:jc w:val="center"/>
        <w:rPr>
          <w:rFonts w:ascii="微软雅黑" w:hAnsi="微软雅黑" w:eastAsia="微软雅黑"/>
          <w:color w:val="FFFFFF" w:themeColor="background1"/>
          <w:sz w:val="32"/>
          <w:szCs w:val="32"/>
          <w14:textFill>
            <w14:solidFill>
              <w14:schemeClr w14:val="bg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1474" w:footer="992" w:gutter="0"/>
          <w:pgNumType w:start="1"/>
          <w:cols w:space="425" w:num="1"/>
          <w:titlePg/>
          <w:docGrid w:type="lines" w:linePitch="326" w:charSpace="0"/>
        </w:sectPr>
      </w:pPr>
      <w:r>
        <w:rPr>
          <w:rFonts w:ascii="微软雅黑" w:hAnsi="微软雅黑" w:eastAsia="微软雅黑"/>
          <w:color w:val="FFFFFF" w:themeColor="background1"/>
          <w:sz w:val="32"/>
          <w:szCs w:val="32"/>
          <w14:textFill>
            <w14:solidFill>
              <w14:schemeClr w14:val="bg1"/>
            </w14:solidFill>
          </w14:textFill>
        </w:rPr>
        <w:t>（</w:t>
      </w:r>
      <w:bookmarkEnd w:id="0"/>
      <w:r>
        <w:rPr>
          <w:rFonts w:ascii="微软雅黑" w:hAnsi="微软雅黑" w:eastAsia="微软雅黑"/>
          <w:color w:val="FFFFFF" w:themeColor="background1"/>
          <w:sz w:val="32"/>
          <w:szCs w:val="32"/>
          <w14:textFill>
            <w14:solidFill>
              <w14:schemeClr w14:val="bg1"/>
            </w14:solidFill>
          </w14:textFill>
        </w:rPr>
        <w:t>2024年</w:t>
      </w:r>
      <w:r>
        <w:rPr>
          <w:rFonts w:hint="eastAsia" w:ascii="微软雅黑" w:hAnsi="微软雅黑" w:eastAsia="微软雅黑"/>
          <w:color w:val="FFFFFF" w:themeColor="background1"/>
          <w:sz w:val="32"/>
          <w:szCs w:val="32"/>
          <w14:textFill>
            <w14:solidFill>
              <w14:schemeClr w14:val="bg1"/>
            </w14:solidFill>
          </w14:textFill>
        </w:rPr>
        <w:t>6</w:t>
      </w:r>
      <w:r>
        <w:rPr>
          <w:rFonts w:ascii="微软雅黑" w:hAnsi="微软雅黑" w:eastAsia="微软雅黑"/>
          <w:color w:val="FFFFFF" w:themeColor="background1"/>
          <w:sz w:val="32"/>
          <w:szCs w:val="32"/>
          <w14:textFill>
            <w14:solidFill>
              <w14:schemeClr w14:val="bg1"/>
            </w14:solidFill>
          </w14:textFill>
        </w:rPr>
        <w:t>月）</w:t>
      </w:r>
    </w:p>
    <w:sdt>
      <w:sdtPr>
        <w:rPr>
          <w:rFonts w:eastAsia="仿宋" w:asciiTheme="minorHAnsi" w:hAnsiTheme="minorHAnsi" w:cstheme="minorBidi"/>
          <w:b/>
          <w:bCs/>
          <w:szCs w:val="22"/>
        </w:rPr>
        <w:id w:val="1723481355"/>
        <w:docPartObj>
          <w:docPartGallery w:val="Table of Contents"/>
          <w:docPartUnique/>
        </w:docPartObj>
      </w:sdtPr>
      <w:sdtEndPr>
        <w:rPr>
          <w:rFonts w:eastAsia="仿宋" w:asciiTheme="minorHAnsi" w:hAnsiTheme="minorHAnsi" w:cstheme="minorBidi"/>
          <w:b w:val="0"/>
          <w:bCs w:val="0"/>
          <w:szCs w:val="22"/>
          <w:lang w:val="zh-CN"/>
        </w:rPr>
      </w:sdtEndPr>
      <w:sdtContent>
        <w:p w14:paraId="62E3343E">
          <w:pPr>
            <w:pStyle w:val="32"/>
            <w:ind w:firstLine="482"/>
            <w:jc w:val="center"/>
            <w:rPr>
              <w:rStyle w:val="39"/>
              <w:rFonts w:ascii="黑体" w:hAnsi="黑体" w:eastAsia="黑体"/>
            </w:rPr>
          </w:pPr>
          <w:bookmarkStart w:id="1" w:name="_Toc166169574"/>
          <w:bookmarkStart w:id="2" w:name="_Toc166095659"/>
          <w:bookmarkStart w:id="3" w:name="_Toc166311268"/>
          <w:r>
            <w:rPr>
              <w:rStyle w:val="39"/>
              <w:rFonts w:ascii="黑体" w:hAnsi="黑体" w:eastAsia="黑体"/>
            </w:rPr>
            <w:t>目录</w:t>
          </w:r>
          <w:bookmarkEnd w:id="1"/>
          <w:bookmarkEnd w:id="2"/>
          <w:bookmarkEnd w:id="3"/>
        </w:p>
        <w:p w14:paraId="4A81C59E">
          <w:pPr>
            <w:pStyle w:val="12"/>
            <w:tabs>
              <w:tab w:val="right" w:leader="dot" w:pos="8296"/>
            </w:tabs>
            <w:rPr>
              <w:rFonts w:cstheme="minorBidi"/>
              <w:kern w:val="2"/>
              <w:sz w:val="21"/>
              <w14:ligatures w14:val="standardContextual"/>
            </w:rPr>
          </w:pPr>
          <w:r>
            <w:fldChar w:fldCharType="begin"/>
          </w:r>
          <w:r>
            <w:instrText xml:space="preserve"> TOC \o "1-3" \h \z \u </w:instrText>
          </w:r>
          <w:r>
            <w:fldChar w:fldCharType="separate"/>
          </w:r>
          <w:r>
            <w:fldChar w:fldCharType="begin"/>
          </w:r>
          <w:r>
            <w:instrText xml:space="preserve"> HYPERLINK \l "_Toc170978897" </w:instrText>
          </w:r>
          <w:r>
            <w:fldChar w:fldCharType="separate"/>
          </w:r>
          <w:r>
            <w:rPr>
              <w:rStyle w:val="20"/>
              <w:rFonts w:ascii="黑体" w:hAnsi="黑体" w:eastAsia="黑体"/>
              <w:kern w:val="44"/>
            </w:rPr>
            <w:t>摘要</w:t>
          </w:r>
          <w:r>
            <w:tab/>
          </w:r>
          <w:r>
            <w:fldChar w:fldCharType="begin"/>
          </w:r>
          <w:r>
            <w:instrText xml:space="preserve"> PAGEREF _Toc170978897 \h </w:instrText>
          </w:r>
          <w:r>
            <w:fldChar w:fldCharType="separate"/>
          </w:r>
          <w:r>
            <w:t>1</w:t>
          </w:r>
          <w:r>
            <w:fldChar w:fldCharType="end"/>
          </w:r>
          <w:r>
            <w:fldChar w:fldCharType="end"/>
          </w:r>
        </w:p>
        <w:p w14:paraId="6F87190F">
          <w:pPr>
            <w:pStyle w:val="12"/>
            <w:tabs>
              <w:tab w:val="right" w:leader="dot" w:pos="8296"/>
            </w:tabs>
            <w:rPr>
              <w:rFonts w:cstheme="minorBidi"/>
              <w:kern w:val="2"/>
              <w:sz w:val="21"/>
              <w14:ligatures w14:val="standardContextual"/>
            </w:rPr>
          </w:pPr>
          <w:r>
            <w:fldChar w:fldCharType="begin"/>
          </w:r>
          <w:r>
            <w:instrText xml:space="preserve"> HYPERLINK \l "_Toc170978898" </w:instrText>
          </w:r>
          <w:r>
            <w:fldChar w:fldCharType="separate"/>
          </w:r>
          <w:r>
            <w:rPr>
              <w:rStyle w:val="20"/>
              <w:rFonts w:ascii="黑体" w:hAnsi="黑体" w:eastAsia="黑体"/>
              <w:kern w:val="44"/>
            </w:rPr>
            <w:t>一、政策动态</w:t>
          </w:r>
          <w:r>
            <w:tab/>
          </w:r>
          <w:r>
            <w:fldChar w:fldCharType="begin"/>
          </w:r>
          <w:r>
            <w:instrText xml:space="preserve"> PAGEREF _Toc170978898 \h </w:instrText>
          </w:r>
          <w:r>
            <w:fldChar w:fldCharType="separate"/>
          </w:r>
          <w:r>
            <w:t>2</w:t>
          </w:r>
          <w:r>
            <w:fldChar w:fldCharType="end"/>
          </w:r>
          <w:r>
            <w:fldChar w:fldCharType="end"/>
          </w:r>
        </w:p>
        <w:p w14:paraId="2CD94C69">
          <w:pPr>
            <w:pStyle w:val="12"/>
            <w:tabs>
              <w:tab w:val="left" w:pos="440"/>
              <w:tab w:val="right" w:leader="dot" w:pos="8296"/>
            </w:tabs>
            <w:rPr>
              <w:rFonts w:cstheme="minorBidi"/>
              <w:kern w:val="2"/>
              <w:sz w:val="21"/>
              <w14:ligatures w14:val="standardContextual"/>
            </w:rPr>
          </w:pPr>
          <w:r>
            <w:fldChar w:fldCharType="begin"/>
          </w:r>
          <w:r>
            <w:instrText xml:space="preserve"> HYPERLINK \l "_Toc170978899" </w:instrText>
          </w:r>
          <w:r>
            <w:fldChar w:fldCharType="separate"/>
          </w:r>
          <w:r>
            <w:rPr>
              <w:rStyle w:val="20"/>
            </w:rPr>
            <w:t>1.</w:t>
          </w:r>
          <w:r>
            <w:rPr>
              <w:rFonts w:cstheme="minorBidi"/>
              <w:kern w:val="2"/>
              <w:sz w:val="21"/>
              <w14:ligatures w14:val="standardContextual"/>
            </w:rPr>
            <w:tab/>
          </w:r>
          <w:r>
            <w:rPr>
              <w:rStyle w:val="20"/>
            </w:rPr>
            <w:t>交通运输部、国家铁路局联合发布《关于加强城际铁路、市域（郊）铁路监督管理的意见》</w:t>
          </w:r>
          <w:r>
            <w:tab/>
          </w:r>
          <w:r>
            <w:fldChar w:fldCharType="begin"/>
          </w:r>
          <w:r>
            <w:instrText xml:space="preserve"> PAGEREF _Toc170978899 \h </w:instrText>
          </w:r>
          <w:r>
            <w:fldChar w:fldCharType="separate"/>
          </w:r>
          <w:r>
            <w:t>2</w:t>
          </w:r>
          <w:r>
            <w:fldChar w:fldCharType="end"/>
          </w:r>
          <w:r>
            <w:fldChar w:fldCharType="end"/>
          </w:r>
        </w:p>
        <w:p w14:paraId="27552AA4">
          <w:pPr>
            <w:pStyle w:val="12"/>
            <w:tabs>
              <w:tab w:val="left" w:pos="440"/>
              <w:tab w:val="right" w:leader="dot" w:pos="8296"/>
            </w:tabs>
            <w:rPr>
              <w:rFonts w:cstheme="minorBidi"/>
              <w:kern w:val="2"/>
              <w:sz w:val="21"/>
              <w14:ligatures w14:val="standardContextual"/>
            </w:rPr>
          </w:pPr>
          <w:r>
            <w:fldChar w:fldCharType="begin"/>
          </w:r>
          <w:r>
            <w:instrText xml:space="preserve"> HYPERLINK \l "_Toc170978900" </w:instrText>
          </w:r>
          <w:r>
            <w:fldChar w:fldCharType="separate"/>
          </w:r>
          <w:r>
            <w:rPr>
              <w:rStyle w:val="20"/>
              <w:rFonts w:ascii="仿宋" w:hAnsi="仿宋" w:cs="Arial"/>
              <w:lang w:bidi="ar"/>
            </w:rPr>
            <w:t>2.</w:t>
          </w:r>
          <w:r>
            <w:rPr>
              <w:rFonts w:cstheme="minorBidi"/>
              <w:kern w:val="2"/>
              <w:sz w:val="21"/>
              <w14:ligatures w14:val="standardContextual"/>
            </w:rPr>
            <w:tab/>
          </w:r>
          <w:r>
            <w:rPr>
              <w:rStyle w:val="20"/>
            </w:rPr>
            <w:t>《咸阳市综合交通体系规划（2022-</w:t>
          </w:r>
          <w:r>
            <w:rPr>
              <w:rStyle w:val="20"/>
              <w:rFonts w:ascii="仿宋" w:hAnsi="仿宋"/>
            </w:rPr>
            <w:t>2035年）》公开征求意见</w:t>
          </w:r>
          <w:r>
            <w:tab/>
          </w:r>
          <w:r>
            <w:fldChar w:fldCharType="begin"/>
          </w:r>
          <w:r>
            <w:instrText xml:space="preserve"> PAGEREF _Toc170978900 \h </w:instrText>
          </w:r>
          <w:r>
            <w:fldChar w:fldCharType="separate"/>
          </w:r>
          <w:r>
            <w:t>2</w:t>
          </w:r>
          <w:r>
            <w:fldChar w:fldCharType="end"/>
          </w:r>
          <w:r>
            <w:fldChar w:fldCharType="end"/>
          </w:r>
        </w:p>
        <w:p w14:paraId="0951AEE5">
          <w:pPr>
            <w:pStyle w:val="12"/>
            <w:tabs>
              <w:tab w:val="left" w:pos="440"/>
              <w:tab w:val="right" w:leader="dot" w:pos="8296"/>
            </w:tabs>
            <w:rPr>
              <w:rFonts w:cstheme="minorBidi"/>
              <w:kern w:val="2"/>
              <w:sz w:val="21"/>
              <w14:ligatures w14:val="standardContextual"/>
            </w:rPr>
          </w:pPr>
          <w:r>
            <w:fldChar w:fldCharType="begin"/>
          </w:r>
          <w:r>
            <w:instrText xml:space="preserve"> HYPERLINK \l "_Toc170978901" </w:instrText>
          </w:r>
          <w:r>
            <w:fldChar w:fldCharType="separate"/>
          </w:r>
          <w:r>
            <w:rPr>
              <w:rStyle w:val="20"/>
            </w:rPr>
            <w:t>3.</w:t>
          </w:r>
          <w:r>
            <w:rPr>
              <w:rFonts w:cstheme="minorBidi"/>
              <w:kern w:val="2"/>
              <w:sz w:val="21"/>
              <w14:ligatures w14:val="standardContextual"/>
            </w:rPr>
            <w:tab/>
          </w:r>
          <w:r>
            <w:rPr>
              <w:rStyle w:val="20"/>
            </w:rPr>
            <w:t>交通运输部、财政部办公厅联合印发《关于开展2024年国家综合货运枢纽补链强链申报工作的通知》</w:t>
          </w:r>
          <w:r>
            <w:tab/>
          </w:r>
          <w:r>
            <w:fldChar w:fldCharType="begin"/>
          </w:r>
          <w:r>
            <w:instrText xml:space="preserve"> PAGEREF _Toc170978901 \h </w:instrText>
          </w:r>
          <w:r>
            <w:fldChar w:fldCharType="separate"/>
          </w:r>
          <w:r>
            <w:t>3</w:t>
          </w:r>
          <w:r>
            <w:fldChar w:fldCharType="end"/>
          </w:r>
          <w:r>
            <w:fldChar w:fldCharType="end"/>
          </w:r>
        </w:p>
        <w:p w14:paraId="1DAF4E73">
          <w:pPr>
            <w:pStyle w:val="12"/>
            <w:tabs>
              <w:tab w:val="left" w:pos="440"/>
              <w:tab w:val="right" w:leader="dot" w:pos="8296"/>
            </w:tabs>
            <w:rPr>
              <w:rFonts w:cstheme="minorBidi"/>
              <w:kern w:val="2"/>
              <w:sz w:val="21"/>
              <w14:ligatures w14:val="standardContextual"/>
            </w:rPr>
          </w:pPr>
          <w:r>
            <w:fldChar w:fldCharType="begin"/>
          </w:r>
          <w:r>
            <w:instrText xml:space="preserve"> HYPERLINK \l "_Toc170978902" </w:instrText>
          </w:r>
          <w:r>
            <w:fldChar w:fldCharType="separate"/>
          </w:r>
          <w:r>
            <w:rPr>
              <w:rStyle w:val="20"/>
              <w:rFonts w:ascii="仿宋" w:hAnsi="仿宋" w:cs="Arial"/>
              <w:lang w:bidi="ar"/>
            </w:rPr>
            <w:t>4.</w:t>
          </w:r>
          <w:r>
            <w:rPr>
              <w:rFonts w:cstheme="minorBidi"/>
              <w:kern w:val="2"/>
              <w:sz w:val="21"/>
              <w14:ligatures w14:val="standardContextual"/>
            </w:rPr>
            <w:tab/>
          </w:r>
          <w:r>
            <w:rPr>
              <w:rStyle w:val="20"/>
            </w:rPr>
            <w:t>《中共成都市委关于加快建设国际门户枢纽城市以高水平开放推动高质量发展的决定》</w:t>
          </w:r>
          <w:r>
            <w:rPr>
              <w:rStyle w:val="20"/>
              <w:rFonts w:ascii="仿宋" w:hAnsi="仿宋" w:cs="Arial"/>
              <w:shd w:val="clear" w:color="auto" w:fill="FFFFFF"/>
              <w:lang w:bidi="ar"/>
            </w:rPr>
            <w:t>审议通过</w:t>
          </w:r>
          <w:r>
            <w:tab/>
          </w:r>
          <w:r>
            <w:fldChar w:fldCharType="begin"/>
          </w:r>
          <w:r>
            <w:instrText xml:space="preserve"> PAGEREF _Toc170978902 \h </w:instrText>
          </w:r>
          <w:r>
            <w:fldChar w:fldCharType="separate"/>
          </w:r>
          <w:r>
            <w:t>3</w:t>
          </w:r>
          <w:r>
            <w:fldChar w:fldCharType="end"/>
          </w:r>
          <w:r>
            <w:fldChar w:fldCharType="end"/>
          </w:r>
        </w:p>
        <w:p w14:paraId="696161A6">
          <w:pPr>
            <w:pStyle w:val="12"/>
            <w:tabs>
              <w:tab w:val="left" w:pos="440"/>
              <w:tab w:val="right" w:leader="dot" w:pos="8296"/>
            </w:tabs>
            <w:rPr>
              <w:rFonts w:cstheme="minorBidi"/>
              <w:kern w:val="2"/>
              <w:sz w:val="21"/>
              <w14:ligatures w14:val="standardContextual"/>
            </w:rPr>
          </w:pPr>
          <w:r>
            <w:fldChar w:fldCharType="begin"/>
          </w:r>
          <w:r>
            <w:instrText xml:space="preserve"> HYPERLINK \l "_Toc170978903" </w:instrText>
          </w:r>
          <w:r>
            <w:fldChar w:fldCharType="separate"/>
          </w:r>
          <w:r>
            <w:rPr>
              <w:rStyle w:val="20"/>
              <w:rFonts w:ascii="仿宋" w:hAnsi="仿宋" w:cs="Arial"/>
              <w:lang w:bidi="ar"/>
            </w:rPr>
            <w:t>5.</w:t>
          </w:r>
          <w:r>
            <w:rPr>
              <w:rFonts w:cstheme="minorBidi"/>
              <w:kern w:val="2"/>
              <w:sz w:val="21"/>
              <w14:ligatures w14:val="standardContextual"/>
            </w:rPr>
            <w:tab/>
          </w:r>
          <w:r>
            <w:rPr>
              <w:rStyle w:val="20"/>
            </w:rPr>
            <w:t>《包头市加快建设交通强国五年行动计划（2023—2027年）》</w:t>
          </w:r>
          <w:r>
            <w:rPr>
              <w:rStyle w:val="20"/>
              <w:rFonts w:ascii="仿宋" w:hAnsi="仿宋" w:cs="Arial"/>
              <w:shd w:val="clear" w:color="auto" w:fill="FFFFFF"/>
              <w:lang w:bidi="ar"/>
            </w:rPr>
            <w:t>发布</w:t>
          </w:r>
          <w:r>
            <w:tab/>
          </w:r>
          <w:r>
            <w:fldChar w:fldCharType="begin"/>
          </w:r>
          <w:r>
            <w:instrText xml:space="preserve"> PAGEREF _Toc170978903 \h </w:instrText>
          </w:r>
          <w:r>
            <w:fldChar w:fldCharType="separate"/>
          </w:r>
          <w:r>
            <w:t>3</w:t>
          </w:r>
          <w:r>
            <w:fldChar w:fldCharType="end"/>
          </w:r>
          <w:r>
            <w:fldChar w:fldCharType="end"/>
          </w:r>
        </w:p>
        <w:p w14:paraId="57EC0F45">
          <w:pPr>
            <w:pStyle w:val="12"/>
            <w:tabs>
              <w:tab w:val="left" w:pos="440"/>
              <w:tab w:val="right" w:leader="dot" w:pos="8296"/>
            </w:tabs>
            <w:rPr>
              <w:rFonts w:cstheme="minorBidi"/>
              <w:kern w:val="2"/>
              <w:sz w:val="21"/>
              <w14:ligatures w14:val="standardContextual"/>
            </w:rPr>
          </w:pPr>
          <w:r>
            <w:fldChar w:fldCharType="begin"/>
          </w:r>
          <w:r>
            <w:instrText xml:space="preserve"> HYPERLINK \l "_Toc170978904" </w:instrText>
          </w:r>
          <w:r>
            <w:fldChar w:fldCharType="separate"/>
          </w:r>
          <w:r>
            <w:rPr>
              <w:rStyle w:val="20"/>
              <w:rFonts w:ascii="仿宋" w:hAnsi="仿宋"/>
            </w:rPr>
            <w:t>6.</w:t>
          </w:r>
          <w:r>
            <w:rPr>
              <w:rFonts w:cstheme="minorBidi"/>
              <w:kern w:val="2"/>
              <w:sz w:val="21"/>
              <w14:ligatures w14:val="standardContextual"/>
            </w:rPr>
            <w:tab/>
          </w:r>
          <w:r>
            <w:rPr>
              <w:rStyle w:val="20"/>
              <w:rFonts w:ascii="仿宋" w:hAnsi="仿宋"/>
            </w:rPr>
            <w:t>《河南省国土空间规划（2021-2035年）》发布</w:t>
          </w:r>
          <w:r>
            <w:tab/>
          </w:r>
          <w:r>
            <w:fldChar w:fldCharType="begin"/>
          </w:r>
          <w:r>
            <w:instrText xml:space="preserve"> PAGEREF _Toc170978904 \h </w:instrText>
          </w:r>
          <w:r>
            <w:fldChar w:fldCharType="separate"/>
          </w:r>
          <w:r>
            <w:t>4</w:t>
          </w:r>
          <w:r>
            <w:fldChar w:fldCharType="end"/>
          </w:r>
          <w:r>
            <w:fldChar w:fldCharType="end"/>
          </w:r>
        </w:p>
        <w:p w14:paraId="1612AE79">
          <w:pPr>
            <w:pStyle w:val="12"/>
            <w:tabs>
              <w:tab w:val="left" w:pos="440"/>
              <w:tab w:val="right" w:leader="dot" w:pos="8296"/>
            </w:tabs>
            <w:rPr>
              <w:rFonts w:cstheme="minorBidi"/>
              <w:kern w:val="2"/>
              <w:sz w:val="21"/>
              <w14:ligatures w14:val="standardContextual"/>
            </w:rPr>
          </w:pPr>
          <w:r>
            <w:fldChar w:fldCharType="begin"/>
          </w:r>
          <w:r>
            <w:instrText xml:space="preserve"> HYPERLINK \l "_Toc170978905" </w:instrText>
          </w:r>
          <w:r>
            <w:fldChar w:fldCharType="separate"/>
          </w:r>
          <w:r>
            <w:rPr>
              <w:rStyle w:val="20"/>
              <w:rFonts w:ascii="仿宋" w:hAnsi="仿宋"/>
            </w:rPr>
            <w:t>7.</w:t>
          </w:r>
          <w:r>
            <w:rPr>
              <w:rFonts w:cstheme="minorBidi"/>
              <w:kern w:val="2"/>
              <w:sz w:val="21"/>
              <w14:ligatures w14:val="standardContextual"/>
            </w:rPr>
            <w:tab/>
          </w:r>
          <w:r>
            <w:rPr>
              <w:rStyle w:val="20"/>
              <w:rFonts w:ascii="仿宋" w:hAnsi="仿宋"/>
            </w:rPr>
            <w:t>中山市发布</w:t>
          </w:r>
          <w:r>
            <w:rPr>
              <w:rStyle w:val="20"/>
            </w:rPr>
            <w:t>《关于加快推进南中城际中山段场站综合开发的实施意见》</w:t>
          </w:r>
          <w:r>
            <w:tab/>
          </w:r>
          <w:r>
            <w:fldChar w:fldCharType="begin"/>
          </w:r>
          <w:r>
            <w:instrText xml:space="preserve"> PAGEREF _Toc170978905 \h </w:instrText>
          </w:r>
          <w:r>
            <w:fldChar w:fldCharType="separate"/>
          </w:r>
          <w:r>
            <w:t>4</w:t>
          </w:r>
          <w:r>
            <w:fldChar w:fldCharType="end"/>
          </w:r>
          <w:r>
            <w:fldChar w:fldCharType="end"/>
          </w:r>
        </w:p>
        <w:p w14:paraId="65BC1AB7">
          <w:pPr>
            <w:pStyle w:val="12"/>
            <w:tabs>
              <w:tab w:val="left" w:pos="440"/>
              <w:tab w:val="right" w:leader="dot" w:pos="8296"/>
            </w:tabs>
            <w:rPr>
              <w:rFonts w:cstheme="minorBidi"/>
              <w:kern w:val="2"/>
              <w:sz w:val="21"/>
              <w14:ligatures w14:val="standardContextual"/>
            </w:rPr>
          </w:pPr>
          <w:r>
            <w:fldChar w:fldCharType="begin"/>
          </w:r>
          <w:r>
            <w:instrText xml:space="preserve"> HYPERLINK \l "_Toc170978906" </w:instrText>
          </w:r>
          <w:r>
            <w:fldChar w:fldCharType="separate"/>
          </w:r>
          <w:r>
            <w:rPr>
              <w:rStyle w:val="20"/>
              <w:rFonts w:ascii="仿宋" w:hAnsi="仿宋"/>
            </w:rPr>
            <w:t>8.</w:t>
          </w:r>
          <w:r>
            <w:rPr>
              <w:rFonts w:cstheme="minorBidi"/>
              <w:kern w:val="2"/>
              <w:sz w:val="21"/>
              <w14:ligatures w14:val="standardContextual"/>
            </w:rPr>
            <w:tab/>
          </w:r>
          <w:r>
            <w:rPr>
              <w:rStyle w:val="20"/>
              <w:rFonts w:ascii="仿宋" w:hAnsi="仿宋"/>
            </w:rPr>
            <w:t>国家发改委等部门提出优化城市公共交通场站地上地下空间综合开发</w:t>
          </w:r>
          <w:r>
            <w:tab/>
          </w:r>
          <w:r>
            <w:fldChar w:fldCharType="begin"/>
          </w:r>
          <w:r>
            <w:instrText xml:space="preserve"> PAGEREF _Toc170978906 \h </w:instrText>
          </w:r>
          <w:r>
            <w:fldChar w:fldCharType="separate"/>
          </w:r>
          <w:r>
            <w:t>5</w:t>
          </w:r>
          <w:r>
            <w:fldChar w:fldCharType="end"/>
          </w:r>
          <w:r>
            <w:fldChar w:fldCharType="end"/>
          </w:r>
        </w:p>
        <w:p w14:paraId="7C59D89C">
          <w:pPr>
            <w:pStyle w:val="12"/>
            <w:tabs>
              <w:tab w:val="left" w:pos="440"/>
              <w:tab w:val="right" w:leader="dot" w:pos="8296"/>
            </w:tabs>
            <w:rPr>
              <w:rFonts w:cstheme="minorBidi"/>
              <w:kern w:val="2"/>
              <w:sz w:val="21"/>
              <w14:ligatures w14:val="standardContextual"/>
            </w:rPr>
          </w:pPr>
          <w:r>
            <w:fldChar w:fldCharType="begin"/>
          </w:r>
          <w:r>
            <w:instrText xml:space="preserve"> HYPERLINK \l "_Toc170978907" </w:instrText>
          </w:r>
          <w:r>
            <w:fldChar w:fldCharType="separate"/>
          </w:r>
          <w:r>
            <w:rPr>
              <w:rStyle w:val="20"/>
              <w:rFonts w:ascii="仿宋" w:hAnsi="仿宋"/>
            </w:rPr>
            <w:t>9.</w:t>
          </w:r>
          <w:r>
            <w:rPr>
              <w:rFonts w:cstheme="minorBidi"/>
              <w:kern w:val="2"/>
              <w:sz w:val="21"/>
              <w14:ligatures w14:val="standardContextual"/>
            </w:rPr>
            <w:tab/>
          </w:r>
          <w:r>
            <w:rPr>
              <w:rStyle w:val="20"/>
              <w:rFonts w:ascii="仿宋" w:hAnsi="仿宋"/>
            </w:rPr>
            <w:t>自然资源部办公厅发布</w:t>
          </w:r>
          <w:r>
            <w:rPr>
              <w:rStyle w:val="20"/>
            </w:rPr>
            <w:t>《节地技术和节地模式推荐目录（第四批）》</w:t>
          </w:r>
          <w:r>
            <w:tab/>
          </w:r>
          <w:r>
            <w:fldChar w:fldCharType="begin"/>
          </w:r>
          <w:r>
            <w:instrText xml:space="preserve"> PAGEREF _Toc170978907 \h </w:instrText>
          </w:r>
          <w:r>
            <w:fldChar w:fldCharType="separate"/>
          </w:r>
          <w:r>
            <w:t>5</w:t>
          </w:r>
          <w:r>
            <w:fldChar w:fldCharType="end"/>
          </w:r>
          <w:r>
            <w:fldChar w:fldCharType="end"/>
          </w:r>
        </w:p>
        <w:p w14:paraId="1DD7DBB9">
          <w:pPr>
            <w:pStyle w:val="12"/>
            <w:tabs>
              <w:tab w:val="right" w:leader="dot" w:pos="8296"/>
            </w:tabs>
            <w:rPr>
              <w:rFonts w:cstheme="minorBidi"/>
              <w:kern w:val="2"/>
              <w:sz w:val="21"/>
              <w14:ligatures w14:val="standardContextual"/>
            </w:rPr>
          </w:pPr>
          <w:r>
            <w:fldChar w:fldCharType="begin"/>
          </w:r>
          <w:r>
            <w:instrText xml:space="preserve"> HYPERLINK \l "_Toc170978908" </w:instrText>
          </w:r>
          <w:r>
            <w:fldChar w:fldCharType="separate"/>
          </w:r>
          <w:r>
            <w:rPr>
              <w:rStyle w:val="20"/>
              <w:rFonts w:ascii="黑体" w:hAnsi="黑体" w:eastAsia="黑体"/>
              <w:kern w:val="44"/>
            </w:rPr>
            <w:t>二、行业动态</w:t>
          </w:r>
          <w:r>
            <w:tab/>
          </w:r>
          <w:r>
            <w:fldChar w:fldCharType="begin"/>
          </w:r>
          <w:r>
            <w:instrText xml:space="preserve"> PAGEREF _Toc170978908 \h </w:instrText>
          </w:r>
          <w:r>
            <w:fldChar w:fldCharType="separate"/>
          </w:r>
          <w:r>
            <w:t>7</w:t>
          </w:r>
          <w:r>
            <w:fldChar w:fldCharType="end"/>
          </w:r>
          <w:r>
            <w:fldChar w:fldCharType="end"/>
          </w:r>
        </w:p>
        <w:p w14:paraId="7D151634">
          <w:pPr>
            <w:pStyle w:val="12"/>
            <w:tabs>
              <w:tab w:val="left" w:pos="440"/>
              <w:tab w:val="right" w:leader="dot" w:pos="8296"/>
            </w:tabs>
            <w:rPr>
              <w:rFonts w:cstheme="minorBidi"/>
              <w:kern w:val="2"/>
              <w:sz w:val="21"/>
              <w14:ligatures w14:val="standardContextual"/>
            </w:rPr>
          </w:pPr>
          <w:r>
            <w:fldChar w:fldCharType="begin"/>
          </w:r>
          <w:r>
            <w:instrText xml:space="preserve"> HYPERLINK \l "_Toc170978909" </w:instrText>
          </w:r>
          <w:r>
            <w:fldChar w:fldCharType="separate"/>
          </w:r>
          <w:r>
            <w:rPr>
              <w:rStyle w:val="20"/>
            </w:rPr>
            <w:t>1.</w:t>
          </w:r>
          <w:r>
            <w:rPr>
              <w:rFonts w:cstheme="minorBidi"/>
              <w:kern w:val="2"/>
              <w:sz w:val="21"/>
              <w14:ligatures w14:val="standardContextual"/>
            </w:rPr>
            <w:tab/>
          </w:r>
          <w:r>
            <w:rPr>
              <w:rStyle w:val="20"/>
            </w:rPr>
            <w:t>5月城市轨道交通客运量达27．9亿人次</w:t>
          </w:r>
          <w:r>
            <w:tab/>
          </w:r>
          <w:r>
            <w:fldChar w:fldCharType="begin"/>
          </w:r>
          <w:r>
            <w:instrText xml:space="preserve"> PAGEREF _Toc170978909 \h </w:instrText>
          </w:r>
          <w:r>
            <w:fldChar w:fldCharType="separate"/>
          </w:r>
          <w:r>
            <w:t>7</w:t>
          </w:r>
          <w:r>
            <w:fldChar w:fldCharType="end"/>
          </w:r>
          <w:r>
            <w:fldChar w:fldCharType="end"/>
          </w:r>
        </w:p>
        <w:p w14:paraId="2D01CC77">
          <w:pPr>
            <w:pStyle w:val="12"/>
            <w:tabs>
              <w:tab w:val="left" w:pos="440"/>
              <w:tab w:val="right" w:leader="dot" w:pos="8296"/>
            </w:tabs>
            <w:rPr>
              <w:rFonts w:cstheme="minorBidi"/>
              <w:kern w:val="2"/>
              <w:sz w:val="21"/>
              <w14:ligatures w14:val="standardContextual"/>
            </w:rPr>
          </w:pPr>
          <w:r>
            <w:fldChar w:fldCharType="begin"/>
          </w:r>
          <w:r>
            <w:instrText xml:space="preserve"> HYPERLINK \l "_Toc170978910" </w:instrText>
          </w:r>
          <w:r>
            <w:fldChar w:fldCharType="separate"/>
          </w:r>
          <w:r>
            <w:rPr>
              <w:rStyle w:val="20"/>
              <w:rFonts w:ascii="仿宋" w:hAnsi="仿宋" w:cs="Arial"/>
              <w:lang w:bidi="ar"/>
            </w:rPr>
            <w:t>2.</w:t>
          </w:r>
          <w:r>
            <w:rPr>
              <w:rFonts w:cstheme="minorBidi"/>
              <w:kern w:val="2"/>
              <w:sz w:val="21"/>
              <w14:ligatures w14:val="standardContextual"/>
            </w:rPr>
            <w:tab/>
          </w:r>
          <w:r>
            <w:rPr>
              <w:rStyle w:val="20"/>
              <w:rFonts w:ascii="仿宋" w:hAnsi="仿宋" w:cs="Arial"/>
              <w:shd w:val="clear" w:color="auto" w:fill="FFFFFF"/>
              <w:lang w:bidi="ar"/>
            </w:rPr>
            <w:t>交通运输部</w:t>
          </w:r>
          <w:r>
            <w:rPr>
              <w:rStyle w:val="20"/>
            </w:rPr>
            <w:t>发布</w:t>
          </w:r>
          <w:r>
            <w:rPr>
              <w:rStyle w:val="20"/>
              <w:rFonts w:ascii="仿宋" w:hAnsi="仿宋" w:cs="Arial"/>
              <w:shd w:val="clear" w:color="auto" w:fill="FFFFFF"/>
              <w:lang w:bidi="ar"/>
            </w:rPr>
            <w:t>2023年交通运输</w:t>
          </w:r>
          <w:r>
            <w:rPr>
              <w:rStyle w:val="20"/>
            </w:rPr>
            <w:t>行业</w:t>
          </w:r>
          <w:r>
            <w:rPr>
              <w:rStyle w:val="20"/>
              <w:rFonts w:ascii="仿宋" w:hAnsi="仿宋" w:cs="Arial"/>
              <w:shd w:val="clear" w:color="auto" w:fill="FFFFFF"/>
              <w:lang w:bidi="ar"/>
            </w:rPr>
            <w:t>发展统计公报</w:t>
          </w:r>
          <w:r>
            <w:tab/>
          </w:r>
          <w:r>
            <w:fldChar w:fldCharType="begin"/>
          </w:r>
          <w:r>
            <w:instrText xml:space="preserve"> PAGEREF _Toc170978910 \h </w:instrText>
          </w:r>
          <w:r>
            <w:fldChar w:fldCharType="separate"/>
          </w:r>
          <w:r>
            <w:t>7</w:t>
          </w:r>
          <w:r>
            <w:fldChar w:fldCharType="end"/>
          </w:r>
          <w:r>
            <w:fldChar w:fldCharType="end"/>
          </w:r>
        </w:p>
        <w:p w14:paraId="390DC992">
          <w:pPr>
            <w:pStyle w:val="12"/>
            <w:tabs>
              <w:tab w:val="left" w:pos="440"/>
              <w:tab w:val="right" w:leader="dot" w:pos="8296"/>
            </w:tabs>
            <w:rPr>
              <w:rFonts w:cstheme="minorBidi"/>
              <w:kern w:val="2"/>
              <w:sz w:val="21"/>
              <w14:ligatures w14:val="standardContextual"/>
            </w:rPr>
          </w:pPr>
          <w:r>
            <w:fldChar w:fldCharType="begin"/>
          </w:r>
          <w:r>
            <w:instrText xml:space="preserve"> HYPERLINK \l "_Toc170978911" </w:instrText>
          </w:r>
          <w:r>
            <w:fldChar w:fldCharType="separate"/>
          </w:r>
          <w:r>
            <w:rPr>
              <w:rStyle w:val="20"/>
              <w:rFonts w:ascii="仿宋" w:hAnsi="仿宋"/>
            </w:rPr>
            <w:t>3.</w:t>
          </w:r>
          <w:r>
            <w:rPr>
              <w:rFonts w:cstheme="minorBidi"/>
              <w:kern w:val="2"/>
              <w:sz w:val="21"/>
              <w14:ligatures w14:val="standardContextual"/>
            </w:rPr>
            <w:tab/>
          </w:r>
          <w:r>
            <w:rPr>
              <w:rStyle w:val="20"/>
            </w:rPr>
            <w:t>中国城市轨道交通协会印发《中国城市轨道交通多元融合发展指南》</w:t>
          </w:r>
          <w:r>
            <w:tab/>
          </w:r>
          <w:r>
            <w:fldChar w:fldCharType="begin"/>
          </w:r>
          <w:r>
            <w:instrText xml:space="preserve"> PAGEREF _Toc170978911 \h </w:instrText>
          </w:r>
          <w:r>
            <w:fldChar w:fldCharType="separate"/>
          </w:r>
          <w:r>
            <w:t>7</w:t>
          </w:r>
          <w:r>
            <w:fldChar w:fldCharType="end"/>
          </w:r>
          <w:r>
            <w:fldChar w:fldCharType="end"/>
          </w:r>
        </w:p>
        <w:p w14:paraId="60FAC5CC">
          <w:pPr>
            <w:pStyle w:val="12"/>
            <w:tabs>
              <w:tab w:val="left" w:pos="440"/>
              <w:tab w:val="right" w:leader="dot" w:pos="8296"/>
            </w:tabs>
            <w:rPr>
              <w:rFonts w:cstheme="minorBidi"/>
              <w:kern w:val="2"/>
              <w:sz w:val="21"/>
              <w14:ligatures w14:val="standardContextual"/>
            </w:rPr>
          </w:pPr>
          <w:r>
            <w:fldChar w:fldCharType="begin"/>
          </w:r>
          <w:r>
            <w:instrText xml:space="preserve"> HYPERLINK \l "_Toc170978912" </w:instrText>
          </w:r>
          <w:r>
            <w:fldChar w:fldCharType="separate"/>
          </w:r>
          <w:r>
            <w:rPr>
              <w:rStyle w:val="20"/>
            </w:rPr>
            <w:t>4.</w:t>
          </w:r>
          <w:r>
            <w:rPr>
              <w:rFonts w:cstheme="minorBidi"/>
              <w:kern w:val="2"/>
              <w:sz w:val="21"/>
              <w14:ligatures w14:val="standardContextual"/>
            </w:rPr>
            <w:tab/>
          </w:r>
          <w:r>
            <w:rPr>
              <w:rStyle w:val="20"/>
            </w:rPr>
            <w:t>长三角轨道交通运营公司拟组建，推动</w:t>
          </w:r>
          <w:r>
            <w:rPr>
              <w:rStyle w:val="20"/>
              <w:rFonts w:ascii="仿宋" w:hAnsi="仿宋"/>
            </w:rPr>
            <w:t>跨省城际、市域铁路运营的一体化</w:t>
          </w:r>
          <w:r>
            <w:tab/>
          </w:r>
          <w:r>
            <w:fldChar w:fldCharType="begin"/>
          </w:r>
          <w:r>
            <w:instrText xml:space="preserve"> PAGEREF _Toc170978912 \h </w:instrText>
          </w:r>
          <w:r>
            <w:fldChar w:fldCharType="separate"/>
          </w:r>
          <w:r>
            <w:t>8</w:t>
          </w:r>
          <w:r>
            <w:fldChar w:fldCharType="end"/>
          </w:r>
          <w:r>
            <w:fldChar w:fldCharType="end"/>
          </w:r>
        </w:p>
        <w:p w14:paraId="0F830232">
          <w:pPr>
            <w:pStyle w:val="12"/>
            <w:tabs>
              <w:tab w:val="left" w:pos="440"/>
              <w:tab w:val="right" w:leader="dot" w:pos="8296"/>
            </w:tabs>
            <w:rPr>
              <w:rFonts w:cstheme="minorBidi"/>
              <w:kern w:val="2"/>
              <w:sz w:val="21"/>
              <w14:ligatures w14:val="standardContextual"/>
            </w:rPr>
          </w:pPr>
          <w:r>
            <w:fldChar w:fldCharType="begin"/>
          </w:r>
          <w:r>
            <w:instrText xml:space="preserve"> HYPERLINK \l "_Toc170978913" </w:instrText>
          </w:r>
          <w:r>
            <w:fldChar w:fldCharType="separate"/>
          </w:r>
          <w:r>
            <w:rPr>
              <w:rStyle w:val="20"/>
              <w:rFonts w:ascii="仿宋" w:hAnsi="仿宋"/>
            </w:rPr>
            <w:t>5.</w:t>
          </w:r>
          <w:r>
            <w:rPr>
              <w:rFonts w:cstheme="minorBidi"/>
              <w:kern w:val="2"/>
              <w:sz w:val="21"/>
              <w14:ligatures w14:val="standardContextual"/>
            </w:rPr>
            <w:tab/>
          </w:r>
          <w:r>
            <w:rPr>
              <w:rStyle w:val="20"/>
              <w:rFonts w:ascii="仿宋" w:hAnsi="仿宋"/>
            </w:rPr>
            <w:t>北京多个地铁站2024年新开出入口，加强轨道车站与周边建筑联通</w:t>
          </w:r>
          <w:r>
            <w:tab/>
          </w:r>
          <w:r>
            <w:fldChar w:fldCharType="begin"/>
          </w:r>
          <w:r>
            <w:instrText xml:space="preserve"> PAGEREF _Toc170978913 \h </w:instrText>
          </w:r>
          <w:r>
            <w:fldChar w:fldCharType="separate"/>
          </w:r>
          <w:r>
            <w:t>8</w:t>
          </w:r>
          <w:r>
            <w:fldChar w:fldCharType="end"/>
          </w:r>
          <w:r>
            <w:fldChar w:fldCharType="end"/>
          </w:r>
        </w:p>
        <w:p w14:paraId="2FF7FEE6">
          <w:pPr>
            <w:pStyle w:val="12"/>
            <w:tabs>
              <w:tab w:val="left" w:pos="440"/>
              <w:tab w:val="right" w:leader="dot" w:pos="8296"/>
            </w:tabs>
            <w:rPr>
              <w:rFonts w:cstheme="minorBidi"/>
              <w:kern w:val="2"/>
              <w:sz w:val="21"/>
              <w14:ligatures w14:val="standardContextual"/>
            </w:rPr>
          </w:pPr>
          <w:r>
            <w:fldChar w:fldCharType="begin"/>
          </w:r>
          <w:r>
            <w:instrText xml:space="preserve"> HYPERLINK \l "_Toc170978914" </w:instrText>
          </w:r>
          <w:r>
            <w:fldChar w:fldCharType="separate"/>
          </w:r>
          <w:r>
            <w:rPr>
              <w:rStyle w:val="20"/>
              <w:rFonts w:ascii="仿宋" w:hAnsi="仿宋" w:cs="Arial"/>
              <w:lang w:bidi="ar"/>
            </w:rPr>
            <w:t>6.</w:t>
          </w:r>
          <w:r>
            <w:rPr>
              <w:rFonts w:cstheme="minorBidi"/>
              <w:kern w:val="2"/>
              <w:sz w:val="21"/>
              <w14:ligatures w14:val="standardContextual"/>
            </w:rPr>
            <w:tab/>
          </w:r>
          <w:r>
            <w:rPr>
              <w:rStyle w:val="20"/>
              <w:rFonts w:ascii="仿宋" w:hAnsi="仿宋" w:cs="Arial"/>
              <w:shd w:val="clear" w:color="auto" w:fill="FFFFFF"/>
              <w:lang w:bidi="ar"/>
            </w:rPr>
            <w:t>北京市政协召开议政性常委会，以高质量履职助推首都交通高质量发展</w:t>
          </w:r>
          <w:r>
            <w:tab/>
          </w:r>
          <w:r>
            <w:fldChar w:fldCharType="begin"/>
          </w:r>
          <w:r>
            <w:instrText xml:space="preserve"> PAGEREF _Toc170978914 \h </w:instrText>
          </w:r>
          <w:r>
            <w:fldChar w:fldCharType="separate"/>
          </w:r>
          <w:r>
            <w:t>8</w:t>
          </w:r>
          <w:r>
            <w:fldChar w:fldCharType="end"/>
          </w:r>
          <w:r>
            <w:fldChar w:fldCharType="end"/>
          </w:r>
        </w:p>
        <w:p w14:paraId="57FA8303">
          <w:pPr>
            <w:pStyle w:val="12"/>
            <w:tabs>
              <w:tab w:val="left" w:pos="440"/>
              <w:tab w:val="right" w:leader="dot" w:pos="8296"/>
            </w:tabs>
            <w:rPr>
              <w:rFonts w:cstheme="minorBidi"/>
              <w:kern w:val="2"/>
              <w:sz w:val="21"/>
              <w14:ligatures w14:val="standardContextual"/>
            </w:rPr>
          </w:pPr>
          <w:r>
            <w:fldChar w:fldCharType="begin"/>
          </w:r>
          <w:r>
            <w:instrText xml:space="preserve"> HYPERLINK \l "_Toc170978915" </w:instrText>
          </w:r>
          <w:r>
            <w:fldChar w:fldCharType="separate"/>
          </w:r>
          <w:r>
            <w:rPr>
              <w:rStyle w:val="20"/>
              <w:rFonts w:ascii="仿宋" w:hAnsi="仿宋"/>
            </w:rPr>
            <w:t>7.</w:t>
          </w:r>
          <w:r>
            <w:rPr>
              <w:rFonts w:cstheme="minorBidi"/>
              <w:kern w:val="2"/>
              <w:sz w:val="21"/>
              <w14:ligatures w14:val="standardContextual"/>
            </w:rPr>
            <w:tab/>
          </w:r>
          <w:r>
            <w:rPr>
              <w:rStyle w:val="20"/>
              <w:rFonts w:ascii="仿宋" w:hAnsi="仿宋"/>
            </w:rPr>
            <w:t>上海市轨道交通18号线（二期）庙行停车场设计公示</w:t>
          </w:r>
          <w:r>
            <w:tab/>
          </w:r>
          <w:r>
            <w:fldChar w:fldCharType="begin"/>
          </w:r>
          <w:r>
            <w:instrText xml:space="preserve"> PAGEREF _Toc170978915 \h </w:instrText>
          </w:r>
          <w:r>
            <w:fldChar w:fldCharType="separate"/>
          </w:r>
          <w:r>
            <w:t>9</w:t>
          </w:r>
          <w:r>
            <w:fldChar w:fldCharType="end"/>
          </w:r>
          <w:r>
            <w:fldChar w:fldCharType="end"/>
          </w:r>
        </w:p>
        <w:p w14:paraId="4080F28A">
          <w:pPr>
            <w:pStyle w:val="12"/>
            <w:tabs>
              <w:tab w:val="left" w:pos="440"/>
              <w:tab w:val="right" w:leader="dot" w:pos="8296"/>
            </w:tabs>
            <w:rPr>
              <w:rFonts w:cstheme="minorBidi"/>
              <w:kern w:val="2"/>
              <w:sz w:val="21"/>
              <w14:ligatures w14:val="standardContextual"/>
            </w:rPr>
          </w:pPr>
          <w:r>
            <w:fldChar w:fldCharType="begin"/>
          </w:r>
          <w:r>
            <w:instrText xml:space="preserve"> HYPERLINK \l "_Toc170978916" </w:instrText>
          </w:r>
          <w:r>
            <w:fldChar w:fldCharType="separate"/>
          </w:r>
          <w:r>
            <w:rPr>
              <w:rStyle w:val="20"/>
              <w:rFonts w:ascii="仿宋" w:hAnsi="仿宋"/>
            </w:rPr>
            <w:t>8.</w:t>
          </w:r>
          <w:r>
            <w:rPr>
              <w:rFonts w:cstheme="minorBidi"/>
              <w:kern w:val="2"/>
              <w:sz w:val="21"/>
              <w14:ligatures w14:val="standardContextual"/>
            </w:rPr>
            <w:tab/>
          </w:r>
          <w:r>
            <w:rPr>
              <w:rStyle w:val="20"/>
              <w:rFonts w:ascii="仿宋" w:hAnsi="仿宋"/>
            </w:rPr>
            <w:t>上海市轨道交通嘉闵线马东动车运用所设计方案公示</w:t>
          </w:r>
          <w:r>
            <w:tab/>
          </w:r>
          <w:r>
            <w:fldChar w:fldCharType="begin"/>
          </w:r>
          <w:r>
            <w:instrText xml:space="preserve"> PAGEREF _Toc170978916 \h </w:instrText>
          </w:r>
          <w:r>
            <w:fldChar w:fldCharType="separate"/>
          </w:r>
          <w:r>
            <w:t>9</w:t>
          </w:r>
          <w:r>
            <w:fldChar w:fldCharType="end"/>
          </w:r>
          <w:r>
            <w:fldChar w:fldCharType="end"/>
          </w:r>
        </w:p>
        <w:p w14:paraId="2DE579EA">
          <w:pPr>
            <w:pStyle w:val="12"/>
            <w:tabs>
              <w:tab w:val="left" w:pos="440"/>
              <w:tab w:val="right" w:leader="dot" w:pos="8296"/>
            </w:tabs>
            <w:rPr>
              <w:rFonts w:cstheme="minorBidi"/>
              <w:kern w:val="2"/>
              <w:sz w:val="21"/>
              <w14:ligatures w14:val="standardContextual"/>
            </w:rPr>
          </w:pPr>
          <w:r>
            <w:fldChar w:fldCharType="begin"/>
          </w:r>
          <w:r>
            <w:instrText xml:space="preserve"> HYPERLINK \l "_Toc170978917" </w:instrText>
          </w:r>
          <w:r>
            <w:fldChar w:fldCharType="separate"/>
          </w:r>
          <w:r>
            <w:rPr>
              <w:rStyle w:val="20"/>
              <w:rFonts w:ascii="仿宋" w:hAnsi="仿宋"/>
            </w:rPr>
            <w:t>9.</w:t>
          </w:r>
          <w:r>
            <w:rPr>
              <w:rFonts w:cstheme="minorBidi"/>
              <w:kern w:val="2"/>
              <w:sz w:val="21"/>
              <w14:ligatures w14:val="standardContextual"/>
            </w:rPr>
            <w:tab/>
          </w:r>
          <w:r>
            <w:rPr>
              <w:rStyle w:val="20"/>
              <w:rFonts w:ascii="仿宋" w:hAnsi="仿宋"/>
            </w:rPr>
            <w:t>上海示范区线徐乐北路</w:t>
          </w:r>
          <w:r>
            <w:rPr>
              <w:rStyle w:val="20"/>
              <w:rFonts w:ascii="仿宋" w:hAnsi="仿宋" w:cs="Arial"/>
              <w:shd w:val="clear" w:color="auto" w:fill="FFFFFF"/>
              <w:lang w:bidi="ar"/>
            </w:rPr>
            <w:t>站站</w:t>
          </w:r>
          <w:r>
            <w:rPr>
              <w:rStyle w:val="20"/>
              <w:rFonts w:ascii="仿宋" w:hAnsi="仿宋"/>
            </w:rPr>
            <w:t>城启动控规编制</w:t>
          </w:r>
          <w:r>
            <w:tab/>
          </w:r>
          <w:r>
            <w:fldChar w:fldCharType="begin"/>
          </w:r>
          <w:r>
            <w:instrText xml:space="preserve"> PAGEREF _Toc170978917 \h </w:instrText>
          </w:r>
          <w:r>
            <w:fldChar w:fldCharType="separate"/>
          </w:r>
          <w:r>
            <w:t>9</w:t>
          </w:r>
          <w:r>
            <w:fldChar w:fldCharType="end"/>
          </w:r>
          <w:r>
            <w:fldChar w:fldCharType="end"/>
          </w:r>
        </w:p>
        <w:p w14:paraId="5782E16B">
          <w:pPr>
            <w:pStyle w:val="12"/>
            <w:tabs>
              <w:tab w:val="left" w:pos="630"/>
              <w:tab w:val="right" w:leader="dot" w:pos="8296"/>
            </w:tabs>
            <w:rPr>
              <w:rFonts w:cstheme="minorBidi"/>
              <w:kern w:val="2"/>
              <w:sz w:val="21"/>
              <w14:ligatures w14:val="standardContextual"/>
            </w:rPr>
          </w:pPr>
          <w:r>
            <w:fldChar w:fldCharType="begin"/>
          </w:r>
          <w:r>
            <w:instrText xml:space="preserve"> HYPERLINK \l "_Toc170978918" </w:instrText>
          </w:r>
          <w:r>
            <w:fldChar w:fldCharType="separate"/>
          </w:r>
          <w:r>
            <w:rPr>
              <w:rStyle w:val="20"/>
              <w:rFonts w:ascii="仿宋" w:hAnsi="仿宋" w:cs="Arial"/>
              <w:lang w:bidi="ar"/>
            </w:rPr>
            <w:t>10.</w:t>
          </w:r>
          <w:r>
            <w:rPr>
              <w:rFonts w:cstheme="minorBidi"/>
              <w:kern w:val="2"/>
              <w:sz w:val="21"/>
              <w14:ligatures w14:val="standardContextual"/>
            </w:rPr>
            <w:tab/>
          </w:r>
          <w:r>
            <w:rPr>
              <w:rStyle w:val="20"/>
              <w:rFonts w:ascii="仿宋" w:hAnsi="仿宋" w:cs="Arial"/>
              <w:shd w:val="clear" w:color="auto" w:fill="FFFFFF"/>
              <w:lang w:bidi="ar"/>
            </w:rPr>
            <w:t>天津利用边角地块</w:t>
          </w:r>
          <w:r>
            <w:rPr>
              <w:rStyle w:val="20"/>
            </w:rPr>
            <w:t>开发</w:t>
          </w:r>
          <w:r>
            <w:rPr>
              <w:rStyle w:val="20"/>
              <w:rFonts w:ascii="仿宋" w:hAnsi="仿宋" w:cs="Arial"/>
              <w:shd w:val="clear" w:color="auto" w:fill="FFFFFF"/>
              <w:lang w:bidi="ar"/>
            </w:rPr>
            <w:t>“地铁+生活服务设施”以盘活土地存量</w:t>
          </w:r>
          <w:r>
            <w:tab/>
          </w:r>
          <w:r>
            <w:fldChar w:fldCharType="begin"/>
          </w:r>
          <w:r>
            <w:instrText xml:space="preserve"> PAGEREF _Toc170978918 \h </w:instrText>
          </w:r>
          <w:r>
            <w:fldChar w:fldCharType="separate"/>
          </w:r>
          <w:r>
            <w:t>10</w:t>
          </w:r>
          <w:r>
            <w:fldChar w:fldCharType="end"/>
          </w:r>
          <w:r>
            <w:fldChar w:fldCharType="end"/>
          </w:r>
        </w:p>
        <w:p w14:paraId="530EB6CA">
          <w:pPr>
            <w:pStyle w:val="12"/>
            <w:tabs>
              <w:tab w:val="left" w:pos="630"/>
              <w:tab w:val="right" w:leader="dot" w:pos="8296"/>
            </w:tabs>
            <w:rPr>
              <w:rFonts w:cstheme="minorBidi"/>
              <w:kern w:val="2"/>
              <w:sz w:val="21"/>
              <w14:ligatures w14:val="standardContextual"/>
            </w:rPr>
          </w:pPr>
          <w:r>
            <w:fldChar w:fldCharType="begin"/>
          </w:r>
          <w:r>
            <w:instrText xml:space="preserve"> HYPERLINK \l "_Toc170978919" </w:instrText>
          </w:r>
          <w:r>
            <w:fldChar w:fldCharType="separate"/>
          </w:r>
          <w:r>
            <w:rPr>
              <w:rStyle w:val="20"/>
              <w:rFonts w:ascii="仿宋" w:hAnsi="仿宋"/>
            </w:rPr>
            <w:t>11.</w:t>
          </w:r>
          <w:r>
            <w:rPr>
              <w:rFonts w:cstheme="minorBidi"/>
              <w:kern w:val="2"/>
              <w:sz w:val="21"/>
              <w14:ligatures w14:val="standardContextual"/>
            </w:rPr>
            <w:tab/>
          </w:r>
          <w:r>
            <w:rPr>
              <w:rStyle w:val="20"/>
              <w:rFonts w:ascii="仿宋" w:hAnsi="仿宋"/>
            </w:rPr>
            <w:t>东莞地铁二期建设</w:t>
          </w:r>
          <w:r>
            <w:rPr>
              <w:rStyle w:val="20"/>
            </w:rPr>
            <w:t>规划</w:t>
          </w:r>
          <w:r>
            <w:rPr>
              <w:rStyle w:val="20"/>
              <w:rFonts w:ascii="仿宋" w:hAnsi="仿宋"/>
            </w:rPr>
            <w:t>调整，将建6条延伸线对接广深两地</w:t>
          </w:r>
          <w:r>
            <w:tab/>
          </w:r>
          <w:r>
            <w:fldChar w:fldCharType="begin"/>
          </w:r>
          <w:r>
            <w:instrText xml:space="preserve"> PAGEREF _Toc170978919 \h </w:instrText>
          </w:r>
          <w:r>
            <w:fldChar w:fldCharType="separate"/>
          </w:r>
          <w:r>
            <w:t>10</w:t>
          </w:r>
          <w:r>
            <w:fldChar w:fldCharType="end"/>
          </w:r>
          <w:r>
            <w:fldChar w:fldCharType="end"/>
          </w:r>
        </w:p>
        <w:p w14:paraId="768732F4">
          <w:pPr>
            <w:pStyle w:val="12"/>
            <w:tabs>
              <w:tab w:val="left" w:pos="630"/>
              <w:tab w:val="right" w:leader="dot" w:pos="8296"/>
            </w:tabs>
            <w:rPr>
              <w:rFonts w:cstheme="minorBidi"/>
              <w:kern w:val="2"/>
              <w:sz w:val="21"/>
              <w14:ligatures w14:val="standardContextual"/>
            </w:rPr>
          </w:pPr>
          <w:r>
            <w:fldChar w:fldCharType="begin"/>
          </w:r>
          <w:r>
            <w:instrText xml:space="preserve"> HYPERLINK \l "_Toc170978920" </w:instrText>
          </w:r>
          <w:r>
            <w:fldChar w:fldCharType="separate"/>
          </w:r>
          <w:r>
            <w:rPr>
              <w:rStyle w:val="20"/>
              <w:rFonts w:ascii="仿宋" w:hAnsi="仿宋" w:cs="Arial"/>
              <w:lang w:bidi="ar"/>
            </w:rPr>
            <w:t>12.</w:t>
          </w:r>
          <w:r>
            <w:rPr>
              <w:rFonts w:cstheme="minorBidi"/>
              <w:kern w:val="2"/>
              <w:sz w:val="21"/>
              <w14:ligatures w14:val="standardContextual"/>
            </w:rPr>
            <w:tab/>
          </w:r>
          <w:r>
            <w:rPr>
              <w:rStyle w:val="20"/>
              <w:rFonts w:ascii="仿宋" w:hAnsi="仿宋" w:cs="Arial"/>
              <w:shd w:val="clear" w:color="auto" w:fill="FFFFFF"/>
              <w:lang w:bidi="ar"/>
            </w:rPr>
            <w:t>绍兴市越东科创TOD片区建设拉开序幕</w:t>
          </w:r>
          <w:r>
            <w:tab/>
          </w:r>
          <w:r>
            <w:fldChar w:fldCharType="begin"/>
          </w:r>
          <w:r>
            <w:instrText xml:space="preserve"> PAGEREF _Toc170978920 \h </w:instrText>
          </w:r>
          <w:r>
            <w:fldChar w:fldCharType="separate"/>
          </w:r>
          <w:r>
            <w:t>11</w:t>
          </w:r>
          <w:r>
            <w:fldChar w:fldCharType="end"/>
          </w:r>
          <w:r>
            <w:fldChar w:fldCharType="end"/>
          </w:r>
        </w:p>
        <w:p w14:paraId="3BBAB719">
          <w:pPr>
            <w:pStyle w:val="12"/>
            <w:tabs>
              <w:tab w:val="left" w:pos="630"/>
              <w:tab w:val="right" w:leader="dot" w:pos="8296"/>
            </w:tabs>
            <w:rPr>
              <w:rFonts w:cstheme="minorBidi"/>
              <w:kern w:val="2"/>
              <w:sz w:val="21"/>
              <w14:ligatures w14:val="standardContextual"/>
            </w:rPr>
          </w:pPr>
          <w:r>
            <w:fldChar w:fldCharType="begin"/>
          </w:r>
          <w:r>
            <w:instrText xml:space="preserve"> HYPERLINK \l "_Toc170978921" </w:instrText>
          </w:r>
          <w:r>
            <w:fldChar w:fldCharType="separate"/>
          </w:r>
          <w:r>
            <w:rPr>
              <w:rStyle w:val="20"/>
              <w:rFonts w:ascii="仿宋" w:hAnsi="仿宋" w:cs="Arial"/>
              <w:lang w:bidi="ar"/>
            </w:rPr>
            <w:t>13.</w:t>
          </w:r>
          <w:r>
            <w:rPr>
              <w:rFonts w:cstheme="minorBidi"/>
              <w:kern w:val="2"/>
              <w:sz w:val="21"/>
              <w14:ligatures w14:val="standardContextual"/>
            </w:rPr>
            <w:tab/>
          </w:r>
          <w:r>
            <w:rPr>
              <w:rStyle w:val="20"/>
              <w:rFonts w:ascii="仿宋" w:hAnsi="仿宋" w:cs="Arial"/>
              <w:shd w:val="clear" w:color="auto" w:fill="FFFFFF"/>
              <w:lang w:bidi="ar"/>
            </w:rPr>
            <w:t>郑州航空港区都市级</w:t>
          </w:r>
          <w:r>
            <w:rPr>
              <w:rStyle w:val="20"/>
            </w:rPr>
            <w:t>商业中心</w:t>
          </w:r>
          <w:r>
            <w:rPr>
              <w:rStyle w:val="20"/>
              <w:rFonts w:ascii="仿宋" w:hAnsi="仿宋" w:cs="Arial"/>
              <w:shd w:val="clear" w:color="auto" w:fill="FFFFFF"/>
              <w:lang w:bidi="ar"/>
            </w:rPr>
            <w:t>布局亮相</w:t>
          </w:r>
          <w:r>
            <w:tab/>
          </w:r>
          <w:r>
            <w:fldChar w:fldCharType="begin"/>
          </w:r>
          <w:r>
            <w:instrText xml:space="preserve"> PAGEREF _Toc170978921 \h </w:instrText>
          </w:r>
          <w:r>
            <w:fldChar w:fldCharType="separate"/>
          </w:r>
          <w:r>
            <w:t>11</w:t>
          </w:r>
          <w:r>
            <w:fldChar w:fldCharType="end"/>
          </w:r>
          <w:r>
            <w:fldChar w:fldCharType="end"/>
          </w:r>
        </w:p>
        <w:p w14:paraId="050F08B0">
          <w:pPr>
            <w:pStyle w:val="12"/>
            <w:tabs>
              <w:tab w:val="left" w:pos="630"/>
              <w:tab w:val="right" w:leader="dot" w:pos="8296"/>
            </w:tabs>
            <w:rPr>
              <w:rFonts w:cstheme="minorBidi"/>
              <w:kern w:val="2"/>
              <w:sz w:val="21"/>
              <w14:ligatures w14:val="standardContextual"/>
            </w:rPr>
          </w:pPr>
          <w:r>
            <w:fldChar w:fldCharType="begin"/>
          </w:r>
          <w:r>
            <w:instrText xml:space="preserve"> HYPERLINK \l "_Toc170978922" </w:instrText>
          </w:r>
          <w:r>
            <w:fldChar w:fldCharType="separate"/>
          </w:r>
          <w:r>
            <w:rPr>
              <w:rStyle w:val="20"/>
              <w:rFonts w:ascii="仿宋" w:hAnsi="仿宋"/>
            </w:rPr>
            <w:t>14.</w:t>
          </w:r>
          <w:r>
            <w:rPr>
              <w:rFonts w:cstheme="minorBidi"/>
              <w:kern w:val="2"/>
              <w:sz w:val="21"/>
              <w14:ligatures w14:val="standardContextual"/>
            </w:rPr>
            <w:tab/>
          </w:r>
          <w:r>
            <w:rPr>
              <w:rStyle w:val="20"/>
              <w:rFonts w:ascii="仿宋" w:hAnsi="仿宋" w:cs="Arial"/>
              <w:shd w:val="clear" w:color="auto" w:fill="FFFFFF"/>
              <w:lang w:bidi="ar"/>
            </w:rPr>
            <w:t>南</w:t>
          </w:r>
          <w:r>
            <w:rPr>
              <w:rStyle w:val="20"/>
              <w:rFonts w:ascii="仿宋" w:hAnsi="仿宋"/>
            </w:rPr>
            <w:t>昌地铁1号线昌北停车场及配套综合楼规划公示</w:t>
          </w:r>
          <w:r>
            <w:tab/>
          </w:r>
          <w:r>
            <w:fldChar w:fldCharType="begin"/>
          </w:r>
          <w:r>
            <w:instrText xml:space="preserve"> PAGEREF _Toc170978922 \h </w:instrText>
          </w:r>
          <w:r>
            <w:fldChar w:fldCharType="separate"/>
          </w:r>
          <w:r>
            <w:t>11</w:t>
          </w:r>
          <w:r>
            <w:fldChar w:fldCharType="end"/>
          </w:r>
          <w:r>
            <w:fldChar w:fldCharType="end"/>
          </w:r>
        </w:p>
        <w:p w14:paraId="2CCCE9CE">
          <w:pPr>
            <w:pStyle w:val="12"/>
            <w:tabs>
              <w:tab w:val="right" w:leader="dot" w:pos="8296"/>
            </w:tabs>
            <w:rPr>
              <w:rFonts w:cstheme="minorBidi"/>
              <w:kern w:val="2"/>
              <w:sz w:val="21"/>
              <w14:ligatures w14:val="standardContextual"/>
            </w:rPr>
          </w:pPr>
          <w:r>
            <w:fldChar w:fldCharType="begin"/>
          </w:r>
          <w:r>
            <w:instrText xml:space="preserve"> HYPERLINK \l "_Toc170978923" </w:instrText>
          </w:r>
          <w:r>
            <w:fldChar w:fldCharType="separate"/>
          </w:r>
          <w:r>
            <w:rPr>
              <w:rStyle w:val="20"/>
              <w:rFonts w:ascii="黑体" w:hAnsi="黑体" w:eastAsia="黑体"/>
              <w:kern w:val="44"/>
            </w:rPr>
            <w:t>三、企业动态</w:t>
          </w:r>
          <w:r>
            <w:tab/>
          </w:r>
          <w:r>
            <w:fldChar w:fldCharType="begin"/>
          </w:r>
          <w:r>
            <w:instrText xml:space="preserve"> PAGEREF _Toc170978923 \h </w:instrText>
          </w:r>
          <w:r>
            <w:fldChar w:fldCharType="separate"/>
          </w:r>
          <w:r>
            <w:t>13</w:t>
          </w:r>
          <w:r>
            <w:fldChar w:fldCharType="end"/>
          </w:r>
          <w:r>
            <w:fldChar w:fldCharType="end"/>
          </w:r>
        </w:p>
        <w:p w14:paraId="4C326192">
          <w:pPr>
            <w:pStyle w:val="12"/>
            <w:tabs>
              <w:tab w:val="left" w:pos="440"/>
              <w:tab w:val="right" w:leader="dot" w:pos="8296"/>
            </w:tabs>
            <w:rPr>
              <w:rFonts w:cstheme="minorBidi"/>
              <w:kern w:val="2"/>
              <w:sz w:val="21"/>
              <w14:ligatures w14:val="standardContextual"/>
            </w:rPr>
          </w:pPr>
          <w:r>
            <w:fldChar w:fldCharType="begin"/>
          </w:r>
          <w:r>
            <w:instrText xml:space="preserve"> HYPERLINK \l "_Toc170978924" </w:instrText>
          </w:r>
          <w:r>
            <w:fldChar w:fldCharType="separate"/>
          </w:r>
          <w:r>
            <w:rPr>
              <w:rStyle w:val="20"/>
            </w:rPr>
            <w:t>1.</w:t>
          </w:r>
          <w:r>
            <w:rPr>
              <w:rFonts w:cstheme="minorBidi"/>
              <w:kern w:val="2"/>
              <w:sz w:val="21"/>
              <w14:ligatures w14:val="standardContextual"/>
            </w:rPr>
            <w:tab/>
          </w:r>
          <w:r>
            <w:rPr>
              <w:rStyle w:val="20"/>
              <w:rFonts w:ascii="仿宋" w:hAnsi="仿宋"/>
              <w:shd w:val="clear" w:color="auto" w:fill="FFFFFF"/>
              <w:lang w:bidi="ar"/>
            </w:rPr>
            <w:t>苏州轨道、重庆轨道、宁波轨道和昆明地铁公司等获得TOD地块</w:t>
          </w:r>
          <w:r>
            <w:tab/>
          </w:r>
          <w:r>
            <w:fldChar w:fldCharType="begin"/>
          </w:r>
          <w:r>
            <w:instrText xml:space="preserve"> PAGEREF _Toc170978924 \h </w:instrText>
          </w:r>
          <w:r>
            <w:fldChar w:fldCharType="separate"/>
          </w:r>
          <w:r>
            <w:t>13</w:t>
          </w:r>
          <w:r>
            <w:fldChar w:fldCharType="end"/>
          </w:r>
          <w:r>
            <w:fldChar w:fldCharType="end"/>
          </w:r>
        </w:p>
        <w:p w14:paraId="43D600CB">
          <w:pPr>
            <w:pStyle w:val="12"/>
            <w:tabs>
              <w:tab w:val="left" w:pos="440"/>
              <w:tab w:val="right" w:leader="dot" w:pos="8296"/>
            </w:tabs>
            <w:rPr>
              <w:rFonts w:cstheme="minorBidi"/>
              <w:kern w:val="2"/>
              <w:sz w:val="21"/>
              <w14:ligatures w14:val="standardContextual"/>
            </w:rPr>
          </w:pPr>
          <w:r>
            <w:fldChar w:fldCharType="begin"/>
          </w:r>
          <w:r>
            <w:instrText xml:space="preserve"> HYPERLINK \l "_Toc170978925" </w:instrText>
          </w:r>
          <w:r>
            <w:fldChar w:fldCharType="separate"/>
          </w:r>
          <w:r>
            <w:rPr>
              <w:rStyle w:val="20"/>
              <w:rFonts w:ascii="仿宋" w:hAnsi="仿宋"/>
            </w:rPr>
            <w:t>2.</w:t>
          </w:r>
          <w:r>
            <w:rPr>
              <w:rFonts w:cstheme="minorBidi"/>
              <w:kern w:val="2"/>
              <w:sz w:val="21"/>
              <w14:ligatures w14:val="standardContextual"/>
            </w:rPr>
            <w:tab/>
          </w:r>
          <w:r>
            <w:rPr>
              <w:rStyle w:val="20"/>
              <w:rFonts w:ascii="仿宋" w:hAnsi="仿宋"/>
            </w:rPr>
            <w:t>深铁置业三大社区商业和两大TOD标杆商业联席开售</w:t>
          </w:r>
          <w:r>
            <w:tab/>
          </w:r>
          <w:r>
            <w:fldChar w:fldCharType="begin"/>
          </w:r>
          <w:r>
            <w:instrText xml:space="preserve"> PAGEREF _Toc170978925 \h </w:instrText>
          </w:r>
          <w:r>
            <w:fldChar w:fldCharType="separate"/>
          </w:r>
          <w:r>
            <w:t>14</w:t>
          </w:r>
          <w:r>
            <w:fldChar w:fldCharType="end"/>
          </w:r>
          <w:r>
            <w:fldChar w:fldCharType="end"/>
          </w:r>
        </w:p>
        <w:p w14:paraId="03E95506">
          <w:pPr>
            <w:pStyle w:val="12"/>
            <w:tabs>
              <w:tab w:val="left" w:pos="440"/>
              <w:tab w:val="right" w:leader="dot" w:pos="8296"/>
            </w:tabs>
            <w:rPr>
              <w:rFonts w:cstheme="minorBidi"/>
              <w:kern w:val="2"/>
              <w:sz w:val="21"/>
              <w14:ligatures w14:val="standardContextual"/>
            </w:rPr>
          </w:pPr>
          <w:r>
            <w:fldChar w:fldCharType="begin"/>
          </w:r>
          <w:r>
            <w:instrText xml:space="preserve"> HYPERLINK \l "_Toc170978926" </w:instrText>
          </w:r>
          <w:r>
            <w:fldChar w:fldCharType="separate"/>
          </w:r>
          <w:r>
            <w:rPr>
              <w:rStyle w:val="20"/>
              <w:rFonts w:ascii="仿宋" w:hAnsi="仿宋"/>
            </w:rPr>
            <w:t>3.</w:t>
          </w:r>
          <w:r>
            <w:rPr>
              <w:rFonts w:cstheme="minorBidi"/>
              <w:kern w:val="2"/>
              <w:sz w:val="21"/>
              <w14:ligatures w14:val="standardContextual"/>
            </w:rPr>
            <w:tab/>
          </w:r>
          <w:r>
            <w:rPr>
              <w:rStyle w:val="20"/>
              <w:rFonts w:ascii="仿宋" w:hAnsi="仿宋"/>
            </w:rPr>
            <w:t>广州地铁地产举办</w:t>
          </w:r>
          <w:r>
            <w:rPr>
              <w:rStyle w:val="20"/>
              <w:rFonts w:ascii="仿宋" w:hAnsi="仿宋"/>
              <w:shd w:val="clear" w:color="auto" w:fill="FFFFFF"/>
              <w:lang w:bidi="ar"/>
            </w:rPr>
            <w:t>“品牌体验官”</w:t>
          </w:r>
          <w:r>
            <w:rPr>
              <w:rStyle w:val="20"/>
              <w:rFonts w:ascii="仿宋" w:hAnsi="仿宋"/>
            </w:rPr>
            <w:t>主题活动</w:t>
          </w:r>
          <w:r>
            <w:tab/>
          </w:r>
          <w:r>
            <w:fldChar w:fldCharType="begin"/>
          </w:r>
          <w:r>
            <w:instrText xml:space="preserve"> PAGEREF _Toc170978926 \h </w:instrText>
          </w:r>
          <w:r>
            <w:fldChar w:fldCharType="separate"/>
          </w:r>
          <w:r>
            <w:t>15</w:t>
          </w:r>
          <w:r>
            <w:fldChar w:fldCharType="end"/>
          </w:r>
          <w:r>
            <w:fldChar w:fldCharType="end"/>
          </w:r>
        </w:p>
        <w:p w14:paraId="296F8286">
          <w:pPr>
            <w:pStyle w:val="12"/>
            <w:tabs>
              <w:tab w:val="left" w:pos="440"/>
              <w:tab w:val="right" w:leader="dot" w:pos="8296"/>
            </w:tabs>
            <w:rPr>
              <w:rFonts w:cstheme="minorBidi"/>
              <w:kern w:val="2"/>
              <w:sz w:val="21"/>
              <w14:ligatures w14:val="standardContextual"/>
            </w:rPr>
          </w:pPr>
          <w:r>
            <w:fldChar w:fldCharType="begin"/>
          </w:r>
          <w:r>
            <w:instrText xml:space="preserve"> HYPERLINK \l "_Toc170978927" </w:instrText>
          </w:r>
          <w:r>
            <w:fldChar w:fldCharType="separate"/>
          </w:r>
          <w:r>
            <w:rPr>
              <w:rStyle w:val="20"/>
              <w:rFonts w:ascii="仿宋" w:hAnsi="仿宋" w:cs="Arial"/>
              <w:lang w:bidi="ar"/>
            </w:rPr>
            <w:t>4.</w:t>
          </w:r>
          <w:r>
            <w:rPr>
              <w:rFonts w:cstheme="minorBidi"/>
              <w:kern w:val="2"/>
              <w:sz w:val="21"/>
              <w14:ligatures w14:val="standardContextual"/>
            </w:rPr>
            <w:tab/>
          </w:r>
          <w:r>
            <w:rPr>
              <w:rStyle w:val="20"/>
              <w:rFonts w:ascii="仿宋" w:hAnsi="仿宋" w:cs="Arial"/>
              <w:shd w:val="clear" w:color="auto" w:fill="FFFFFF"/>
              <w:lang w:bidi="ar"/>
            </w:rPr>
            <w:t>广州地铁与港铁战略</w:t>
          </w:r>
          <w:r>
            <w:rPr>
              <w:rStyle w:val="20"/>
              <w:rFonts w:ascii="仿宋" w:hAnsi="仿宋"/>
              <w:shd w:val="clear" w:color="auto" w:fill="FFFFFF"/>
              <w:lang w:bidi="ar"/>
            </w:rPr>
            <w:t>合作</w:t>
          </w:r>
          <w:r>
            <w:rPr>
              <w:rStyle w:val="20"/>
              <w:rFonts w:ascii="仿宋" w:hAnsi="仿宋" w:cs="Arial"/>
              <w:shd w:val="clear" w:color="auto" w:fill="FFFFFF"/>
              <w:lang w:bidi="ar"/>
            </w:rPr>
            <w:t>，共促粤港澳大湾区高质量发展</w:t>
          </w:r>
          <w:r>
            <w:tab/>
          </w:r>
          <w:r>
            <w:fldChar w:fldCharType="begin"/>
          </w:r>
          <w:r>
            <w:instrText xml:space="preserve"> PAGEREF _Toc170978927 \h </w:instrText>
          </w:r>
          <w:r>
            <w:fldChar w:fldCharType="separate"/>
          </w:r>
          <w:r>
            <w:t>15</w:t>
          </w:r>
          <w:r>
            <w:fldChar w:fldCharType="end"/>
          </w:r>
          <w:r>
            <w:fldChar w:fldCharType="end"/>
          </w:r>
        </w:p>
        <w:p w14:paraId="35EF2320">
          <w:pPr>
            <w:pStyle w:val="12"/>
            <w:tabs>
              <w:tab w:val="left" w:pos="440"/>
              <w:tab w:val="right" w:leader="dot" w:pos="8296"/>
            </w:tabs>
            <w:rPr>
              <w:rFonts w:cstheme="minorBidi"/>
              <w:kern w:val="2"/>
              <w:sz w:val="21"/>
              <w14:ligatures w14:val="standardContextual"/>
            </w:rPr>
          </w:pPr>
          <w:r>
            <w:fldChar w:fldCharType="begin"/>
          </w:r>
          <w:r>
            <w:instrText xml:space="preserve"> HYPERLINK \l "_Toc170978928" </w:instrText>
          </w:r>
          <w:r>
            <w:fldChar w:fldCharType="separate"/>
          </w:r>
          <w:r>
            <w:rPr>
              <w:rStyle w:val="20"/>
              <w:rFonts w:ascii="仿宋" w:hAnsi="仿宋"/>
            </w:rPr>
            <w:t>5.</w:t>
          </w:r>
          <w:r>
            <w:rPr>
              <w:rFonts w:cstheme="minorBidi"/>
              <w:kern w:val="2"/>
              <w:sz w:val="21"/>
              <w14:ligatures w14:val="standardContextual"/>
            </w:rPr>
            <w:tab/>
          </w:r>
          <w:r>
            <w:rPr>
              <w:rStyle w:val="20"/>
              <w:rFonts w:ascii="仿宋" w:hAnsi="仿宋"/>
            </w:rPr>
            <w:t>金华轨道交通</w:t>
          </w:r>
          <w:r>
            <w:rPr>
              <w:rStyle w:val="20"/>
              <w:rFonts w:ascii="仿宋" w:hAnsi="仿宋"/>
              <w:shd w:val="clear" w:color="auto" w:fill="FFFFFF"/>
              <w:lang w:bidi="ar"/>
            </w:rPr>
            <w:t>置业公司以TOD综合开发重塑城市空间</w:t>
          </w:r>
          <w:r>
            <w:tab/>
          </w:r>
          <w:r>
            <w:fldChar w:fldCharType="begin"/>
          </w:r>
          <w:r>
            <w:instrText xml:space="preserve"> PAGEREF _Toc170978928 \h </w:instrText>
          </w:r>
          <w:r>
            <w:fldChar w:fldCharType="separate"/>
          </w:r>
          <w:r>
            <w:t>15</w:t>
          </w:r>
          <w:r>
            <w:fldChar w:fldCharType="end"/>
          </w:r>
          <w:r>
            <w:fldChar w:fldCharType="end"/>
          </w:r>
        </w:p>
        <w:p w14:paraId="3223514D">
          <w:pPr>
            <w:pStyle w:val="12"/>
            <w:tabs>
              <w:tab w:val="left" w:pos="440"/>
              <w:tab w:val="right" w:leader="dot" w:pos="8296"/>
            </w:tabs>
            <w:rPr>
              <w:rFonts w:cstheme="minorBidi"/>
              <w:kern w:val="2"/>
              <w:sz w:val="21"/>
              <w14:ligatures w14:val="standardContextual"/>
            </w:rPr>
          </w:pPr>
          <w:r>
            <w:fldChar w:fldCharType="begin"/>
          </w:r>
          <w:r>
            <w:instrText xml:space="preserve"> HYPERLINK \l "_Toc170978929" </w:instrText>
          </w:r>
          <w:r>
            <w:fldChar w:fldCharType="separate"/>
          </w:r>
          <w:r>
            <w:rPr>
              <w:rStyle w:val="20"/>
              <w:rFonts w:ascii="仿宋" w:hAnsi="仿宋" w:cs="Arial"/>
              <w:lang w:bidi="ar"/>
            </w:rPr>
            <w:t>6.</w:t>
          </w:r>
          <w:r>
            <w:rPr>
              <w:rFonts w:cstheme="minorBidi"/>
              <w:kern w:val="2"/>
              <w:sz w:val="21"/>
              <w14:ligatures w14:val="standardContextual"/>
            </w:rPr>
            <w:tab/>
          </w:r>
          <w:r>
            <w:rPr>
              <w:rStyle w:val="20"/>
              <w:rFonts w:ascii="仿宋" w:hAnsi="仿宋" w:cs="Arial"/>
              <w:shd w:val="clear" w:color="auto" w:fill="FFFFFF"/>
              <w:lang w:bidi="ar"/>
            </w:rPr>
            <w:t>申通</w:t>
          </w:r>
          <w:r>
            <w:rPr>
              <w:rStyle w:val="20"/>
              <w:rFonts w:ascii="仿宋" w:hAnsi="仿宋"/>
              <w:shd w:val="clear" w:color="auto" w:fill="FFFFFF"/>
              <w:lang w:bidi="ar"/>
            </w:rPr>
            <w:t>地铁集团</w:t>
          </w:r>
          <w:r>
            <w:rPr>
              <w:rStyle w:val="20"/>
              <w:rFonts w:ascii="仿宋" w:hAnsi="仿宋" w:cs="Arial"/>
              <w:shd w:val="clear" w:color="auto" w:fill="FFFFFF"/>
              <w:lang w:bidi="ar"/>
            </w:rPr>
            <w:t>与中国铁路上海局开展工作对接</w:t>
          </w:r>
          <w:r>
            <w:tab/>
          </w:r>
          <w:r>
            <w:fldChar w:fldCharType="begin"/>
          </w:r>
          <w:r>
            <w:instrText xml:space="preserve"> PAGEREF _Toc170978929 \h </w:instrText>
          </w:r>
          <w:r>
            <w:fldChar w:fldCharType="separate"/>
          </w:r>
          <w:r>
            <w:t>16</w:t>
          </w:r>
          <w:r>
            <w:fldChar w:fldCharType="end"/>
          </w:r>
          <w:r>
            <w:fldChar w:fldCharType="end"/>
          </w:r>
        </w:p>
        <w:p w14:paraId="0FF2C62D">
          <w:pPr>
            <w:pStyle w:val="12"/>
            <w:tabs>
              <w:tab w:val="left" w:pos="440"/>
              <w:tab w:val="right" w:leader="dot" w:pos="8296"/>
            </w:tabs>
            <w:rPr>
              <w:rFonts w:cstheme="minorBidi"/>
              <w:kern w:val="2"/>
              <w:sz w:val="21"/>
              <w14:ligatures w14:val="standardContextual"/>
            </w:rPr>
          </w:pPr>
          <w:r>
            <w:fldChar w:fldCharType="begin"/>
          </w:r>
          <w:r>
            <w:instrText xml:space="preserve"> HYPERLINK \l "_Toc170978930" </w:instrText>
          </w:r>
          <w:r>
            <w:fldChar w:fldCharType="separate"/>
          </w:r>
          <w:r>
            <w:rPr>
              <w:rStyle w:val="20"/>
              <w:rFonts w:ascii="仿宋" w:hAnsi="仿宋" w:cs="Arial"/>
              <w:lang w:bidi="ar"/>
            </w:rPr>
            <w:t>7.</w:t>
          </w:r>
          <w:r>
            <w:rPr>
              <w:rFonts w:cstheme="minorBidi"/>
              <w:kern w:val="2"/>
              <w:sz w:val="21"/>
              <w14:ligatures w14:val="standardContextual"/>
            </w:rPr>
            <w:tab/>
          </w:r>
          <w:r>
            <w:rPr>
              <w:rStyle w:val="20"/>
              <w:rFonts w:ascii="仿宋" w:hAnsi="仿宋"/>
              <w:shd w:val="clear" w:color="auto" w:fill="FFFFFF"/>
              <w:lang w:bidi="ar"/>
            </w:rPr>
            <w:t>贵阳交通运营集团</w:t>
          </w:r>
          <w:r>
            <w:rPr>
              <w:rStyle w:val="20"/>
              <w:rFonts w:ascii="仿宋" w:hAnsi="仿宋" w:cs="Arial"/>
              <w:shd w:val="clear" w:color="auto" w:fill="FFFFFF"/>
              <w:lang w:bidi="ar"/>
            </w:rPr>
            <w:t>与比亚迪开展交流座谈</w:t>
          </w:r>
          <w:r>
            <w:tab/>
          </w:r>
          <w:r>
            <w:fldChar w:fldCharType="begin"/>
          </w:r>
          <w:r>
            <w:instrText xml:space="preserve"> PAGEREF _Toc170978930 \h </w:instrText>
          </w:r>
          <w:r>
            <w:fldChar w:fldCharType="separate"/>
          </w:r>
          <w:r>
            <w:t>16</w:t>
          </w:r>
          <w:r>
            <w:fldChar w:fldCharType="end"/>
          </w:r>
          <w:r>
            <w:fldChar w:fldCharType="end"/>
          </w:r>
        </w:p>
        <w:p w14:paraId="6FA95F99">
          <w:pPr>
            <w:pStyle w:val="12"/>
            <w:tabs>
              <w:tab w:val="left" w:pos="440"/>
              <w:tab w:val="right" w:leader="dot" w:pos="8296"/>
            </w:tabs>
            <w:rPr>
              <w:rFonts w:cstheme="minorBidi"/>
              <w:kern w:val="2"/>
              <w:sz w:val="21"/>
              <w14:ligatures w14:val="standardContextual"/>
            </w:rPr>
          </w:pPr>
          <w:r>
            <w:fldChar w:fldCharType="begin"/>
          </w:r>
          <w:r>
            <w:instrText xml:space="preserve"> HYPERLINK \l "_Toc170978931" </w:instrText>
          </w:r>
          <w:r>
            <w:fldChar w:fldCharType="separate"/>
          </w:r>
          <w:r>
            <w:rPr>
              <w:rStyle w:val="20"/>
              <w:rFonts w:ascii="仿宋" w:hAnsi="仿宋"/>
            </w:rPr>
            <w:t>8.</w:t>
          </w:r>
          <w:r>
            <w:rPr>
              <w:rFonts w:cstheme="minorBidi"/>
              <w:kern w:val="2"/>
              <w:sz w:val="21"/>
              <w14:ligatures w14:val="standardContextual"/>
            </w:rPr>
            <w:tab/>
          </w:r>
          <w:r>
            <w:rPr>
              <w:rStyle w:val="20"/>
              <w:rFonts w:ascii="仿宋" w:hAnsi="仿宋"/>
            </w:rPr>
            <w:t>国铁保利公司调研敦白铁路</w:t>
          </w:r>
          <w:r>
            <w:rPr>
              <w:rStyle w:val="20"/>
              <w:rFonts w:ascii="仿宋" w:hAnsi="仿宋"/>
              <w:shd w:val="clear" w:color="auto" w:fill="FFFFFF"/>
              <w:lang w:bidi="ar"/>
            </w:rPr>
            <w:t>客运专线</w:t>
          </w:r>
          <w:r>
            <w:rPr>
              <w:rStyle w:val="20"/>
              <w:rFonts w:ascii="仿宋" w:hAnsi="仿宋"/>
            </w:rPr>
            <w:t>土地综合开发项目</w:t>
          </w:r>
          <w:r>
            <w:tab/>
          </w:r>
          <w:r>
            <w:fldChar w:fldCharType="begin"/>
          </w:r>
          <w:r>
            <w:instrText xml:space="preserve"> PAGEREF _Toc170978931 \h </w:instrText>
          </w:r>
          <w:r>
            <w:fldChar w:fldCharType="separate"/>
          </w:r>
          <w:r>
            <w:t>16</w:t>
          </w:r>
          <w:r>
            <w:fldChar w:fldCharType="end"/>
          </w:r>
          <w:r>
            <w:fldChar w:fldCharType="end"/>
          </w:r>
        </w:p>
        <w:p w14:paraId="4FC553B6">
          <w:pPr>
            <w:pStyle w:val="12"/>
            <w:tabs>
              <w:tab w:val="left" w:pos="440"/>
              <w:tab w:val="right" w:leader="dot" w:pos="8296"/>
            </w:tabs>
            <w:rPr>
              <w:rFonts w:cstheme="minorBidi"/>
              <w:kern w:val="2"/>
              <w:sz w:val="21"/>
              <w14:ligatures w14:val="standardContextual"/>
            </w:rPr>
          </w:pPr>
          <w:r>
            <w:fldChar w:fldCharType="begin"/>
          </w:r>
          <w:r>
            <w:instrText xml:space="preserve"> HYPERLINK \l "_Toc170978932" </w:instrText>
          </w:r>
          <w:r>
            <w:fldChar w:fldCharType="separate"/>
          </w:r>
          <w:r>
            <w:rPr>
              <w:rStyle w:val="20"/>
              <w:rFonts w:ascii="仿宋" w:hAnsi="仿宋" w:cs="Arial"/>
              <w:lang w:bidi="ar"/>
            </w:rPr>
            <w:t>9.</w:t>
          </w:r>
          <w:r>
            <w:rPr>
              <w:rFonts w:cstheme="minorBidi"/>
              <w:kern w:val="2"/>
              <w:sz w:val="21"/>
              <w14:ligatures w14:val="standardContextual"/>
            </w:rPr>
            <w:tab/>
          </w:r>
          <w:r>
            <w:rPr>
              <w:rStyle w:val="20"/>
              <w:rFonts w:ascii="仿宋" w:hAnsi="仿宋" w:cs="Arial"/>
              <w:shd w:val="clear" w:color="auto" w:fill="FFFFFF"/>
              <w:lang w:bidi="ar"/>
            </w:rPr>
            <w:t>昆明交投拟进行大规模</w:t>
          </w:r>
          <w:r>
            <w:rPr>
              <w:rStyle w:val="20"/>
              <w:rFonts w:ascii="仿宋" w:hAnsi="仿宋"/>
            </w:rPr>
            <w:t>资产</w:t>
          </w:r>
          <w:r>
            <w:rPr>
              <w:rStyle w:val="20"/>
              <w:rFonts w:ascii="仿宋" w:hAnsi="仿宋"/>
              <w:shd w:val="clear" w:color="auto" w:fill="FFFFFF"/>
              <w:lang w:bidi="ar"/>
            </w:rPr>
            <w:t>处置</w:t>
          </w:r>
          <w:r>
            <w:rPr>
              <w:rStyle w:val="20"/>
              <w:rFonts w:ascii="仿宋" w:hAnsi="仿宋" w:cs="Arial"/>
              <w:shd w:val="clear" w:color="auto" w:fill="FFFFFF"/>
              <w:lang w:bidi="ar"/>
            </w:rPr>
            <w:t>，枢纽曜城在列</w:t>
          </w:r>
          <w:r>
            <w:tab/>
          </w:r>
          <w:r>
            <w:fldChar w:fldCharType="begin"/>
          </w:r>
          <w:r>
            <w:instrText xml:space="preserve"> PAGEREF _Toc170978932 \h </w:instrText>
          </w:r>
          <w:r>
            <w:fldChar w:fldCharType="separate"/>
          </w:r>
          <w:r>
            <w:t>16</w:t>
          </w:r>
          <w:r>
            <w:fldChar w:fldCharType="end"/>
          </w:r>
          <w:r>
            <w:fldChar w:fldCharType="end"/>
          </w:r>
        </w:p>
        <w:p w14:paraId="602952F1">
          <w:pPr>
            <w:pStyle w:val="12"/>
            <w:tabs>
              <w:tab w:val="left" w:pos="630"/>
              <w:tab w:val="right" w:leader="dot" w:pos="8296"/>
            </w:tabs>
            <w:rPr>
              <w:rFonts w:cstheme="minorBidi"/>
              <w:kern w:val="2"/>
              <w:sz w:val="21"/>
              <w14:ligatures w14:val="standardContextual"/>
            </w:rPr>
          </w:pPr>
          <w:r>
            <w:fldChar w:fldCharType="begin"/>
          </w:r>
          <w:r>
            <w:instrText xml:space="preserve"> HYPERLINK \l "_Toc170978933" </w:instrText>
          </w:r>
          <w:r>
            <w:fldChar w:fldCharType="separate"/>
          </w:r>
          <w:r>
            <w:rPr>
              <w:rStyle w:val="20"/>
              <w:rFonts w:ascii="仿宋" w:hAnsi="仿宋"/>
            </w:rPr>
            <w:t>10.</w:t>
          </w:r>
          <w:r>
            <w:rPr>
              <w:rFonts w:cstheme="minorBidi"/>
              <w:kern w:val="2"/>
              <w:sz w:val="21"/>
              <w14:ligatures w14:val="standardContextual"/>
            </w:rPr>
            <w:tab/>
          </w:r>
          <w:r>
            <w:rPr>
              <w:rStyle w:val="20"/>
              <w:rFonts w:ascii="仿宋" w:hAnsi="仿宋"/>
            </w:rPr>
            <w:t>越秀地产股东大会全票</w:t>
          </w:r>
          <w:r>
            <w:rPr>
              <w:rStyle w:val="20"/>
              <w:rFonts w:ascii="仿宋" w:hAnsi="仿宋"/>
              <w:shd w:val="clear" w:color="auto" w:fill="FFFFFF"/>
              <w:lang w:bidi="ar"/>
            </w:rPr>
            <w:t>通过</w:t>
          </w:r>
          <w:r>
            <w:rPr>
              <w:rStyle w:val="20"/>
              <w:rFonts w:ascii="仿宋" w:hAnsi="仿宋"/>
            </w:rPr>
            <w:t>收购广州琶洲南TOD二期20%权益决议</w:t>
          </w:r>
          <w:r>
            <w:tab/>
          </w:r>
          <w:r>
            <w:fldChar w:fldCharType="begin"/>
          </w:r>
          <w:r>
            <w:instrText xml:space="preserve"> PAGEREF _Toc170978933 \h </w:instrText>
          </w:r>
          <w:r>
            <w:fldChar w:fldCharType="separate"/>
          </w:r>
          <w:r>
            <w:t>17</w:t>
          </w:r>
          <w:r>
            <w:fldChar w:fldCharType="end"/>
          </w:r>
          <w:r>
            <w:fldChar w:fldCharType="end"/>
          </w:r>
        </w:p>
        <w:p w14:paraId="2C5FE1FC">
          <w:pPr>
            <w:pStyle w:val="12"/>
            <w:tabs>
              <w:tab w:val="left" w:pos="630"/>
              <w:tab w:val="right" w:leader="dot" w:pos="8296"/>
            </w:tabs>
            <w:rPr>
              <w:rFonts w:cstheme="minorBidi"/>
              <w:kern w:val="2"/>
              <w:sz w:val="21"/>
              <w14:ligatures w14:val="standardContextual"/>
            </w:rPr>
          </w:pPr>
          <w:r>
            <w:fldChar w:fldCharType="begin"/>
          </w:r>
          <w:r>
            <w:instrText xml:space="preserve"> HYPERLINK \l "_Toc170978934" </w:instrText>
          </w:r>
          <w:r>
            <w:fldChar w:fldCharType="separate"/>
          </w:r>
          <w:r>
            <w:rPr>
              <w:rStyle w:val="20"/>
              <w:rFonts w:ascii="仿宋" w:hAnsi="仿宋"/>
            </w:rPr>
            <w:t>11.</w:t>
          </w:r>
          <w:r>
            <w:rPr>
              <w:rFonts w:cstheme="minorBidi"/>
              <w:kern w:val="2"/>
              <w:sz w:val="21"/>
              <w14:ligatures w14:val="standardContextual"/>
            </w:rPr>
            <w:tab/>
          </w:r>
          <w:r>
            <w:rPr>
              <w:rStyle w:val="20"/>
              <w:rFonts w:ascii="仿宋" w:hAnsi="仿宋"/>
            </w:rPr>
            <w:t>浦东建设全资子公司中标</w:t>
          </w:r>
          <w:r>
            <w:rPr>
              <w:rStyle w:val="20"/>
              <w:rFonts w:ascii="仿宋" w:hAnsi="仿宋"/>
              <w:shd w:val="clear" w:color="auto" w:fill="FFFFFF"/>
              <w:lang w:bidi="ar"/>
            </w:rPr>
            <w:t>上海金桥地铁</w:t>
          </w:r>
          <w:r>
            <w:rPr>
              <w:rStyle w:val="20"/>
              <w:rFonts w:ascii="仿宋" w:hAnsi="仿宋"/>
            </w:rPr>
            <w:t>上盖研发及商业项目</w:t>
          </w:r>
          <w:r>
            <w:tab/>
          </w:r>
          <w:r>
            <w:fldChar w:fldCharType="begin"/>
          </w:r>
          <w:r>
            <w:instrText xml:space="preserve"> PAGEREF _Toc170978934 \h </w:instrText>
          </w:r>
          <w:r>
            <w:fldChar w:fldCharType="separate"/>
          </w:r>
          <w:r>
            <w:t>17</w:t>
          </w:r>
          <w:r>
            <w:fldChar w:fldCharType="end"/>
          </w:r>
          <w:r>
            <w:fldChar w:fldCharType="end"/>
          </w:r>
        </w:p>
        <w:p w14:paraId="756D52BE">
          <w:pPr>
            <w:pStyle w:val="12"/>
            <w:tabs>
              <w:tab w:val="right" w:leader="dot" w:pos="8296"/>
            </w:tabs>
            <w:rPr>
              <w:rFonts w:cstheme="minorBidi"/>
              <w:kern w:val="2"/>
              <w:sz w:val="21"/>
              <w14:ligatures w14:val="standardContextual"/>
            </w:rPr>
          </w:pPr>
          <w:r>
            <w:fldChar w:fldCharType="begin"/>
          </w:r>
          <w:r>
            <w:instrText xml:space="preserve"> HYPERLINK \l "_Toc170978935" </w:instrText>
          </w:r>
          <w:r>
            <w:fldChar w:fldCharType="separate"/>
          </w:r>
          <w:r>
            <w:rPr>
              <w:rStyle w:val="20"/>
              <w:rFonts w:ascii="黑体" w:hAnsi="黑体" w:eastAsia="黑体"/>
              <w:kern w:val="44"/>
            </w:rPr>
            <w:t>四、项目动态</w:t>
          </w:r>
          <w:r>
            <w:tab/>
          </w:r>
          <w:r>
            <w:fldChar w:fldCharType="begin"/>
          </w:r>
          <w:r>
            <w:instrText xml:space="preserve"> PAGEREF _Toc170978935 \h </w:instrText>
          </w:r>
          <w:r>
            <w:fldChar w:fldCharType="separate"/>
          </w:r>
          <w:r>
            <w:t>18</w:t>
          </w:r>
          <w:r>
            <w:fldChar w:fldCharType="end"/>
          </w:r>
          <w:r>
            <w:fldChar w:fldCharType="end"/>
          </w:r>
        </w:p>
        <w:p w14:paraId="7E0C26D3">
          <w:pPr>
            <w:pStyle w:val="12"/>
            <w:tabs>
              <w:tab w:val="left" w:pos="440"/>
              <w:tab w:val="right" w:leader="dot" w:pos="8296"/>
            </w:tabs>
            <w:rPr>
              <w:rFonts w:cstheme="minorBidi"/>
              <w:kern w:val="2"/>
              <w:sz w:val="21"/>
              <w14:ligatures w14:val="standardContextual"/>
            </w:rPr>
          </w:pPr>
          <w:r>
            <w:fldChar w:fldCharType="begin"/>
          </w:r>
          <w:r>
            <w:instrText xml:space="preserve"> HYPERLINK \l "_Toc170978936" </w:instrText>
          </w:r>
          <w:r>
            <w:fldChar w:fldCharType="separate"/>
          </w:r>
          <w:r>
            <w:rPr>
              <w:rStyle w:val="20"/>
              <w:rFonts w:ascii="仿宋" w:hAnsi="仿宋" w:cs="Arial"/>
              <w:lang w:bidi="ar"/>
            </w:rPr>
            <w:t>1.</w:t>
          </w:r>
          <w:r>
            <w:rPr>
              <w:rFonts w:cstheme="minorBidi"/>
              <w:kern w:val="2"/>
              <w:sz w:val="21"/>
              <w14:ligatures w14:val="standardContextual"/>
            </w:rPr>
            <w:tab/>
          </w:r>
          <w:r>
            <w:rPr>
              <w:rStyle w:val="20"/>
              <w:rFonts w:ascii="仿宋" w:hAnsi="仿宋" w:cs="Arial"/>
              <w:shd w:val="clear" w:color="auto" w:fill="FFFFFF"/>
              <w:lang w:bidi="ar"/>
            </w:rPr>
            <w:t>上海万科首个</w:t>
          </w:r>
          <w:r>
            <w:rPr>
              <w:rStyle w:val="20"/>
              <w:rFonts w:ascii="仿宋" w:hAnsi="仿宋"/>
              <w:shd w:val="clear" w:color="auto" w:fill="FFFFFF"/>
              <w:lang w:bidi="ar"/>
            </w:rPr>
            <w:t>POD</w:t>
          </w:r>
          <w:r>
            <w:rPr>
              <w:rStyle w:val="20"/>
              <w:rFonts w:ascii="仿宋" w:hAnsi="仿宋" w:cs="Arial"/>
              <w:shd w:val="clear" w:color="auto" w:fill="FFFFFF"/>
              <w:lang w:bidi="ar"/>
            </w:rPr>
            <w:t>商业正式开业</w:t>
          </w:r>
          <w:r>
            <w:tab/>
          </w:r>
          <w:r>
            <w:fldChar w:fldCharType="begin"/>
          </w:r>
          <w:r>
            <w:instrText xml:space="preserve"> PAGEREF _Toc170978936 \h </w:instrText>
          </w:r>
          <w:r>
            <w:fldChar w:fldCharType="separate"/>
          </w:r>
          <w:r>
            <w:t>18</w:t>
          </w:r>
          <w:r>
            <w:fldChar w:fldCharType="end"/>
          </w:r>
          <w:r>
            <w:fldChar w:fldCharType="end"/>
          </w:r>
        </w:p>
        <w:p w14:paraId="333A6AC2">
          <w:pPr>
            <w:pStyle w:val="12"/>
            <w:tabs>
              <w:tab w:val="left" w:pos="440"/>
              <w:tab w:val="right" w:leader="dot" w:pos="8296"/>
            </w:tabs>
            <w:rPr>
              <w:rFonts w:cstheme="minorBidi"/>
              <w:kern w:val="2"/>
              <w:sz w:val="21"/>
              <w14:ligatures w14:val="standardContextual"/>
            </w:rPr>
          </w:pPr>
          <w:r>
            <w:fldChar w:fldCharType="begin"/>
          </w:r>
          <w:r>
            <w:instrText xml:space="preserve"> HYPERLINK \l "_Toc170978937" </w:instrText>
          </w:r>
          <w:r>
            <w:fldChar w:fldCharType="separate"/>
          </w:r>
          <w:r>
            <w:rPr>
              <w:rStyle w:val="20"/>
              <w:rFonts w:ascii="仿宋" w:hAnsi="仿宋" w:cs="Arial"/>
              <w:lang w:bidi="ar"/>
            </w:rPr>
            <w:t>2.</w:t>
          </w:r>
          <w:r>
            <w:rPr>
              <w:rFonts w:cstheme="minorBidi"/>
              <w:kern w:val="2"/>
              <w:sz w:val="21"/>
              <w14:ligatures w14:val="standardContextual"/>
            </w:rPr>
            <w:tab/>
          </w:r>
          <w:r>
            <w:rPr>
              <w:rStyle w:val="20"/>
              <w:rFonts w:ascii="仿宋" w:hAnsi="仿宋" w:cs="Arial"/>
              <w:shd w:val="clear" w:color="auto" w:fill="FFFFFF"/>
              <w:lang w:bidi="ar"/>
            </w:rPr>
            <w:t>上海15号线丰翔路站TOD项目设计方案出炉</w:t>
          </w:r>
          <w:r>
            <w:tab/>
          </w:r>
          <w:r>
            <w:fldChar w:fldCharType="begin"/>
          </w:r>
          <w:r>
            <w:instrText xml:space="preserve"> PAGEREF _Toc170978937 \h </w:instrText>
          </w:r>
          <w:r>
            <w:fldChar w:fldCharType="separate"/>
          </w:r>
          <w:r>
            <w:t>18</w:t>
          </w:r>
          <w:r>
            <w:fldChar w:fldCharType="end"/>
          </w:r>
          <w:r>
            <w:fldChar w:fldCharType="end"/>
          </w:r>
        </w:p>
        <w:p w14:paraId="631E62ED">
          <w:pPr>
            <w:pStyle w:val="12"/>
            <w:tabs>
              <w:tab w:val="left" w:pos="440"/>
              <w:tab w:val="right" w:leader="dot" w:pos="8296"/>
            </w:tabs>
            <w:rPr>
              <w:rFonts w:cstheme="minorBidi"/>
              <w:kern w:val="2"/>
              <w:sz w:val="21"/>
              <w14:ligatures w14:val="standardContextual"/>
            </w:rPr>
          </w:pPr>
          <w:r>
            <w:fldChar w:fldCharType="begin"/>
          </w:r>
          <w:r>
            <w:instrText xml:space="preserve"> HYPERLINK \l "_Toc170978938" </w:instrText>
          </w:r>
          <w:r>
            <w:fldChar w:fldCharType="separate"/>
          </w:r>
          <w:r>
            <w:rPr>
              <w:rStyle w:val="20"/>
              <w:rFonts w:ascii="仿宋" w:hAnsi="仿宋" w:cs="Arial"/>
              <w:lang w:bidi="ar"/>
            </w:rPr>
            <w:t>3.</w:t>
          </w:r>
          <w:r>
            <w:rPr>
              <w:rFonts w:cstheme="minorBidi"/>
              <w:kern w:val="2"/>
              <w:sz w:val="21"/>
              <w14:ligatures w14:val="standardContextual"/>
            </w:rPr>
            <w:tab/>
          </w:r>
          <w:r>
            <w:rPr>
              <w:rStyle w:val="20"/>
              <w:rFonts w:ascii="仿宋" w:hAnsi="仿宋" w:cs="Arial"/>
              <w:shd w:val="clear" w:color="auto" w:fill="FFFFFF"/>
              <w:lang w:bidi="ar"/>
            </w:rPr>
            <w:t>深铁置业TOD未来生活馆获批深圳市科普基地</w:t>
          </w:r>
          <w:r>
            <w:tab/>
          </w:r>
          <w:r>
            <w:fldChar w:fldCharType="begin"/>
          </w:r>
          <w:r>
            <w:instrText xml:space="preserve"> PAGEREF _Toc170978938 \h </w:instrText>
          </w:r>
          <w:r>
            <w:fldChar w:fldCharType="separate"/>
          </w:r>
          <w:r>
            <w:t>18</w:t>
          </w:r>
          <w:r>
            <w:fldChar w:fldCharType="end"/>
          </w:r>
          <w:r>
            <w:fldChar w:fldCharType="end"/>
          </w:r>
        </w:p>
        <w:p w14:paraId="1FC5FEC2">
          <w:pPr>
            <w:pStyle w:val="12"/>
            <w:tabs>
              <w:tab w:val="left" w:pos="440"/>
              <w:tab w:val="right" w:leader="dot" w:pos="8296"/>
            </w:tabs>
            <w:rPr>
              <w:rFonts w:cstheme="minorBidi"/>
              <w:kern w:val="2"/>
              <w:sz w:val="21"/>
              <w14:ligatures w14:val="standardContextual"/>
            </w:rPr>
          </w:pPr>
          <w:r>
            <w:fldChar w:fldCharType="begin"/>
          </w:r>
          <w:r>
            <w:instrText xml:space="preserve"> HYPERLINK \l "_Toc170978939" </w:instrText>
          </w:r>
          <w:r>
            <w:fldChar w:fldCharType="separate"/>
          </w:r>
          <w:r>
            <w:rPr>
              <w:rStyle w:val="20"/>
              <w:rFonts w:ascii="仿宋" w:hAnsi="仿宋"/>
            </w:rPr>
            <w:t>4.</w:t>
          </w:r>
          <w:r>
            <w:rPr>
              <w:rFonts w:cstheme="minorBidi"/>
              <w:kern w:val="2"/>
              <w:sz w:val="21"/>
              <w14:ligatures w14:val="standardContextual"/>
            </w:rPr>
            <w:tab/>
          </w:r>
          <w:r>
            <w:rPr>
              <w:rStyle w:val="20"/>
              <w:rFonts w:ascii="仿宋" w:hAnsi="仿宋"/>
            </w:rPr>
            <w:t>广州白云站TOD粤胜广场引进</w:t>
          </w:r>
          <w:r>
            <w:rPr>
              <w:rStyle w:val="20"/>
              <w:rFonts w:ascii="仿宋" w:hAnsi="仿宋" w:cs="Arial"/>
              <w:shd w:val="clear" w:color="auto" w:fill="FFFFFF"/>
              <w:lang w:bidi="ar"/>
            </w:rPr>
            <w:t>洲际酒店</w:t>
          </w:r>
          <w:r>
            <w:rPr>
              <w:rStyle w:val="20"/>
              <w:rFonts w:ascii="仿宋" w:hAnsi="仿宋"/>
            </w:rPr>
            <w:t>集团旗下逸衡酒店</w:t>
          </w:r>
          <w:r>
            <w:tab/>
          </w:r>
          <w:r>
            <w:fldChar w:fldCharType="begin"/>
          </w:r>
          <w:r>
            <w:instrText xml:space="preserve"> PAGEREF _Toc170978939 \h </w:instrText>
          </w:r>
          <w:r>
            <w:fldChar w:fldCharType="separate"/>
          </w:r>
          <w:r>
            <w:t>19</w:t>
          </w:r>
          <w:r>
            <w:fldChar w:fldCharType="end"/>
          </w:r>
          <w:r>
            <w:fldChar w:fldCharType="end"/>
          </w:r>
        </w:p>
        <w:p w14:paraId="09CB1818">
          <w:pPr>
            <w:pStyle w:val="12"/>
            <w:tabs>
              <w:tab w:val="left" w:pos="440"/>
              <w:tab w:val="right" w:leader="dot" w:pos="8296"/>
            </w:tabs>
            <w:rPr>
              <w:rFonts w:cstheme="minorBidi"/>
              <w:kern w:val="2"/>
              <w:sz w:val="21"/>
              <w14:ligatures w14:val="standardContextual"/>
            </w:rPr>
          </w:pPr>
          <w:r>
            <w:fldChar w:fldCharType="begin"/>
          </w:r>
          <w:r>
            <w:instrText xml:space="preserve"> HYPERLINK \l "_Toc170978940" </w:instrText>
          </w:r>
          <w:r>
            <w:fldChar w:fldCharType="separate"/>
          </w:r>
          <w:r>
            <w:rPr>
              <w:rStyle w:val="20"/>
              <w:rFonts w:ascii="仿宋" w:hAnsi="仿宋"/>
            </w:rPr>
            <w:t>5.</w:t>
          </w:r>
          <w:r>
            <w:rPr>
              <w:rFonts w:cstheme="minorBidi"/>
              <w:kern w:val="2"/>
              <w:sz w:val="21"/>
              <w14:ligatures w14:val="standardContextual"/>
            </w:rPr>
            <w:tab/>
          </w:r>
          <w:r>
            <w:rPr>
              <w:rStyle w:val="20"/>
              <w:rFonts w:ascii="仿宋" w:hAnsi="仿宋"/>
            </w:rPr>
            <w:t>广州全盛新天地商业综合体近日封顶</w:t>
          </w:r>
          <w:r>
            <w:tab/>
          </w:r>
          <w:r>
            <w:fldChar w:fldCharType="begin"/>
          </w:r>
          <w:r>
            <w:instrText xml:space="preserve"> PAGEREF _Toc170978940 \h </w:instrText>
          </w:r>
          <w:r>
            <w:fldChar w:fldCharType="separate"/>
          </w:r>
          <w:r>
            <w:t>19</w:t>
          </w:r>
          <w:r>
            <w:fldChar w:fldCharType="end"/>
          </w:r>
          <w:r>
            <w:fldChar w:fldCharType="end"/>
          </w:r>
        </w:p>
        <w:p w14:paraId="4F680C5C">
          <w:pPr>
            <w:pStyle w:val="12"/>
            <w:tabs>
              <w:tab w:val="left" w:pos="440"/>
              <w:tab w:val="right" w:leader="dot" w:pos="8296"/>
            </w:tabs>
            <w:rPr>
              <w:rFonts w:cstheme="minorBidi"/>
              <w:kern w:val="2"/>
              <w:sz w:val="21"/>
              <w14:ligatures w14:val="standardContextual"/>
            </w:rPr>
          </w:pPr>
          <w:r>
            <w:fldChar w:fldCharType="begin"/>
          </w:r>
          <w:r>
            <w:instrText xml:space="preserve"> HYPERLINK \l "_Toc170978941" </w:instrText>
          </w:r>
          <w:r>
            <w:fldChar w:fldCharType="separate"/>
          </w:r>
          <w:r>
            <w:rPr>
              <w:rStyle w:val="20"/>
              <w:rFonts w:ascii="仿宋" w:hAnsi="仿宋"/>
            </w:rPr>
            <w:t>6.</w:t>
          </w:r>
          <w:r>
            <w:rPr>
              <w:rFonts w:cstheme="minorBidi"/>
              <w:kern w:val="2"/>
              <w:sz w:val="21"/>
              <w14:ligatures w14:val="standardContextual"/>
            </w:rPr>
            <w:tab/>
          </w:r>
          <w:r>
            <w:rPr>
              <w:rStyle w:val="20"/>
              <w:rFonts w:ascii="仿宋" w:hAnsi="仿宋"/>
            </w:rPr>
            <w:t>昆明市世博车辆段配售型</w:t>
          </w:r>
          <w:r>
            <w:rPr>
              <w:rStyle w:val="20"/>
              <w:rFonts w:ascii="仿宋" w:hAnsi="仿宋" w:cs="Arial"/>
              <w:shd w:val="clear" w:color="auto" w:fill="FFFFFF"/>
              <w:lang w:bidi="ar"/>
            </w:rPr>
            <w:t>保障</w:t>
          </w:r>
          <w:r>
            <w:rPr>
              <w:rStyle w:val="20"/>
              <w:rFonts w:ascii="仿宋" w:hAnsi="仿宋"/>
            </w:rPr>
            <w:t>性住房项目已计划开工</w:t>
          </w:r>
          <w:r>
            <w:tab/>
          </w:r>
          <w:r>
            <w:fldChar w:fldCharType="begin"/>
          </w:r>
          <w:r>
            <w:instrText xml:space="preserve"> PAGEREF _Toc170978941 \h </w:instrText>
          </w:r>
          <w:r>
            <w:fldChar w:fldCharType="separate"/>
          </w:r>
          <w:r>
            <w:t>20</w:t>
          </w:r>
          <w:r>
            <w:fldChar w:fldCharType="end"/>
          </w:r>
          <w:r>
            <w:fldChar w:fldCharType="end"/>
          </w:r>
        </w:p>
        <w:p w14:paraId="65AF15BD">
          <w:pPr>
            <w:pStyle w:val="12"/>
            <w:tabs>
              <w:tab w:val="left" w:pos="440"/>
              <w:tab w:val="right" w:leader="dot" w:pos="8296"/>
            </w:tabs>
            <w:rPr>
              <w:rFonts w:cstheme="minorBidi"/>
              <w:kern w:val="2"/>
              <w:sz w:val="21"/>
              <w14:ligatures w14:val="standardContextual"/>
            </w:rPr>
          </w:pPr>
          <w:r>
            <w:fldChar w:fldCharType="begin"/>
          </w:r>
          <w:r>
            <w:instrText xml:space="preserve"> HYPERLINK \l "_Toc170978942" </w:instrText>
          </w:r>
          <w:r>
            <w:fldChar w:fldCharType="separate"/>
          </w:r>
          <w:r>
            <w:rPr>
              <w:rStyle w:val="20"/>
              <w:rFonts w:ascii="仿宋" w:hAnsi="仿宋" w:cs="Arial"/>
              <w:lang w:bidi="ar"/>
            </w:rPr>
            <w:t>7.</w:t>
          </w:r>
          <w:r>
            <w:rPr>
              <w:rFonts w:cstheme="minorBidi"/>
              <w:kern w:val="2"/>
              <w:sz w:val="21"/>
              <w14:ligatures w14:val="standardContextual"/>
            </w:rPr>
            <w:tab/>
          </w:r>
          <w:r>
            <w:rPr>
              <w:rStyle w:val="20"/>
              <w:rFonts w:ascii="仿宋" w:hAnsi="仿宋" w:cs="Arial"/>
              <w:shd w:val="clear" w:color="auto" w:fill="FFFFFF"/>
              <w:lang w:bidi="ar"/>
            </w:rPr>
            <w:t>杭州钱塘高铁枢纽暨新城建设推进会在杭州钱塘区召开</w:t>
          </w:r>
          <w:r>
            <w:tab/>
          </w:r>
          <w:r>
            <w:fldChar w:fldCharType="begin"/>
          </w:r>
          <w:r>
            <w:instrText xml:space="preserve"> PAGEREF _Toc170978942 \h </w:instrText>
          </w:r>
          <w:r>
            <w:fldChar w:fldCharType="separate"/>
          </w:r>
          <w:r>
            <w:t>20</w:t>
          </w:r>
          <w:r>
            <w:fldChar w:fldCharType="end"/>
          </w:r>
          <w:r>
            <w:fldChar w:fldCharType="end"/>
          </w:r>
        </w:p>
        <w:p w14:paraId="08E1D838">
          <w:pPr>
            <w:pStyle w:val="12"/>
            <w:tabs>
              <w:tab w:val="left" w:pos="440"/>
              <w:tab w:val="right" w:leader="dot" w:pos="8296"/>
            </w:tabs>
            <w:rPr>
              <w:rFonts w:cstheme="minorBidi"/>
              <w:kern w:val="2"/>
              <w:sz w:val="21"/>
              <w14:ligatures w14:val="standardContextual"/>
            </w:rPr>
          </w:pPr>
          <w:r>
            <w:fldChar w:fldCharType="begin"/>
          </w:r>
          <w:r>
            <w:instrText xml:space="preserve"> HYPERLINK \l "_Toc170978943" </w:instrText>
          </w:r>
          <w:r>
            <w:fldChar w:fldCharType="separate"/>
          </w:r>
          <w:r>
            <w:rPr>
              <w:rStyle w:val="20"/>
              <w:rFonts w:ascii="仿宋" w:hAnsi="仿宋"/>
            </w:rPr>
            <w:t>8.</w:t>
          </w:r>
          <w:r>
            <w:rPr>
              <w:rFonts w:cstheme="minorBidi"/>
              <w:kern w:val="2"/>
              <w:sz w:val="21"/>
              <w14:ligatures w14:val="standardContextual"/>
            </w:rPr>
            <w:tab/>
          </w:r>
          <w:r>
            <w:rPr>
              <w:rStyle w:val="20"/>
              <w:rFonts w:ascii="仿宋" w:hAnsi="仿宋"/>
            </w:rPr>
            <w:t>温州市乐清首个TOD轻轨</w:t>
          </w:r>
          <w:r>
            <w:rPr>
              <w:rStyle w:val="20"/>
              <w:rFonts w:ascii="仿宋" w:hAnsi="仿宋" w:cs="Arial"/>
              <w:shd w:val="clear" w:color="auto" w:fill="FFFFFF"/>
              <w:lang w:bidi="ar"/>
            </w:rPr>
            <w:t>商业</w:t>
          </w:r>
          <w:r>
            <w:rPr>
              <w:rStyle w:val="20"/>
              <w:rFonts w:ascii="仿宋" w:hAnsi="仿宋"/>
            </w:rPr>
            <w:t>体亮相</w:t>
          </w:r>
          <w:r>
            <w:tab/>
          </w:r>
          <w:r>
            <w:fldChar w:fldCharType="begin"/>
          </w:r>
          <w:r>
            <w:instrText xml:space="preserve"> PAGEREF _Toc170978943 \h </w:instrText>
          </w:r>
          <w:r>
            <w:fldChar w:fldCharType="separate"/>
          </w:r>
          <w:r>
            <w:t>21</w:t>
          </w:r>
          <w:r>
            <w:fldChar w:fldCharType="end"/>
          </w:r>
          <w:r>
            <w:fldChar w:fldCharType="end"/>
          </w:r>
        </w:p>
        <w:p w14:paraId="5B3086AD">
          <w:pPr>
            <w:pStyle w:val="12"/>
            <w:tabs>
              <w:tab w:val="left" w:pos="440"/>
              <w:tab w:val="right" w:leader="dot" w:pos="8296"/>
            </w:tabs>
            <w:rPr>
              <w:rFonts w:cstheme="minorBidi"/>
              <w:kern w:val="2"/>
              <w:sz w:val="21"/>
              <w14:ligatures w14:val="standardContextual"/>
            </w:rPr>
          </w:pPr>
          <w:r>
            <w:fldChar w:fldCharType="begin"/>
          </w:r>
          <w:r>
            <w:instrText xml:space="preserve"> HYPERLINK \l "_Toc170978944" </w:instrText>
          </w:r>
          <w:r>
            <w:fldChar w:fldCharType="separate"/>
          </w:r>
          <w:r>
            <w:rPr>
              <w:rStyle w:val="20"/>
              <w:rFonts w:ascii="仿宋" w:hAnsi="仿宋"/>
            </w:rPr>
            <w:t>9.</w:t>
          </w:r>
          <w:r>
            <w:rPr>
              <w:rFonts w:cstheme="minorBidi"/>
              <w:kern w:val="2"/>
              <w:sz w:val="21"/>
              <w14:ligatures w14:val="standardContextual"/>
            </w:rPr>
            <w:tab/>
          </w:r>
          <w:r>
            <w:rPr>
              <w:rStyle w:val="20"/>
              <w:rFonts w:ascii="仿宋" w:hAnsi="仿宋"/>
            </w:rPr>
            <w:t>西安高新区TOD项目</w:t>
          </w:r>
          <w:r>
            <w:rPr>
              <w:rStyle w:val="20"/>
              <w:rFonts w:ascii="仿宋" w:hAnsi="仿宋" w:cs="Arial"/>
              <w:shd w:val="clear" w:color="auto" w:fill="FFFFFF"/>
              <w:lang w:bidi="ar"/>
            </w:rPr>
            <w:t>进入</w:t>
          </w:r>
          <w:r>
            <w:rPr>
              <w:rStyle w:val="20"/>
              <w:rFonts w:ascii="仿宋" w:hAnsi="仿宋"/>
            </w:rPr>
            <w:t>实体示范区施工阶段</w:t>
          </w:r>
          <w:r>
            <w:tab/>
          </w:r>
          <w:r>
            <w:fldChar w:fldCharType="begin"/>
          </w:r>
          <w:r>
            <w:instrText xml:space="preserve"> PAGEREF _Toc170978944 \h </w:instrText>
          </w:r>
          <w:r>
            <w:fldChar w:fldCharType="separate"/>
          </w:r>
          <w:r>
            <w:t>21</w:t>
          </w:r>
          <w:r>
            <w:fldChar w:fldCharType="end"/>
          </w:r>
          <w:r>
            <w:fldChar w:fldCharType="end"/>
          </w:r>
        </w:p>
        <w:p w14:paraId="6FAB8CBC">
          <w:pPr>
            <w:pStyle w:val="12"/>
            <w:tabs>
              <w:tab w:val="left" w:pos="630"/>
              <w:tab w:val="right" w:leader="dot" w:pos="8296"/>
            </w:tabs>
            <w:rPr>
              <w:rFonts w:cstheme="minorBidi"/>
              <w:kern w:val="2"/>
              <w:sz w:val="21"/>
              <w14:ligatures w14:val="standardContextual"/>
            </w:rPr>
          </w:pPr>
          <w:r>
            <w:fldChar w:fldCharType="begin"/>
          </w:r>
          <w:r>
            <w:instrText xml:space="preserve"> HYPERLINK \l "_Toc170978945" </w:instrText>
          </w:r>
          <w:r>
            <w:fldChar w:fldCharType="separate"/>
          </w:r>
          <w:r>
            <w:rPr>
              <w:rStyle w:val="20"/>
              <w:rFonts w:ascii="仿宋" w:hAnsi="仿宋"/>
            </w:rPr>
            <w:t>10.</w:t>
          </w:r>
          <w:r>
            <w:rPr>
              <w:rFonts w:cstheme="minorBidi"/>
              <w:kern w:val="2"/>
              <w:sz w:val="21"/>
              <w14:ligatures w14:val="standardContextual"/>
            </w:rPr>
            <w:tab/>
          </w:r>
          <w:r>
            <w:rPr>
              <w:rStyle w:val="20"/>
              <w:rFonts w:ascii="仿宋" w:hAnsi="仿宋"/>
            </w:rPr>
            <w:t>南昌大悦城综合体启动，定位“</w:t>
          </w:r>
          <w:r>
            <w:rPr>
              <w:rStyle w:val="20"/>
              <w:rFonts w:ascii="仿宋" w:hAnsi="仿宋" w:cs="Arial"/>
              <w:shd w:val="clear" w:color="auto" w:fill="FFFFFF"/>
              <w:lang w:bidi="ar"/>
            </w:rPr>
            <w:t>城市</w:t>
          </w:r>
          <w:r>
            <w:rPr>
              <w:rStyle w:val="20"/>
              <w:rFonts w:ascii="仿宋" w:hAnsi="仿宋"/>
            </w:rPr>
            <w:t>沸腾青年主场”</w:t>
          </w:r>
          <w:r>
            <w:tab/>
          </w:r>
          <w:r>
            <w:fldChar w:fldCharType="begin"/>
          </w:r>
          <w:r>
            <w:instrText xml:space="preserve"> PAGEREF _Toc170978945 \h </w:instrText>
          </w:r>
          <w:r>
            <w:fldChar w:fldCharType="separate"/>
          </w:r>
          <w:r>
            <w:t>21</w:t>
          </w:r>
          <w:r>
            <w:fldChar w:fldCharType="end"/>
          </w:r>
          <w:r>
            <w:fldChar w:fldCharType="end"/>
          </w:r>
        </w:p>
        <w:p w14:paraId="415810AE">
          <w:pPr>
            <w:ind w:firstLine="482"/>
          </w:pPr>
          <w:r>
            <w:rPr>
              <w:b/>
              <w:bCs/>
              <w:lang w:val="zh-CN"/>
            </w:rPr>
            <w:fldChar w:fldCharType="end"/>
          </w:r>
        </w:p>
      </w:sdtContent>
    </w:sdt>
    <w:p w14:paraId="5A585C65">
      <w:pPr>
        <w:spacing w:before="163" w:beforeLines="50" w:after="163" w:afterLines="50"/>
        <w:ind w:firstLine="480"/>
        <w:rPr>
          <w:rFonts w:ascii="仿宋" w:hAnsi="仿宋"/>
          <w:szCs w:val="36"/>
        </w:rPr>
        <w:sectPr>
          <w:headerReference r:id="rId11" w:type="default"/>
          <w:pgSz w:w="11906" w:h="16838"/>
          <w:pgMar w:top="1440" w:right="1800" w:bottom="1440" w:left="1800" w:header="1474" w:footer="964" w:gutter="0"/>
          <w:pgNumType w:start="1"/>
          <w:cols w:space="425" w:num="1"/>
          <w:docGrid w:type="lines" w:linePitch="326" w:charSpace="0"/>
        </w:sectPr>
      </w:pPr>
    </w:p>
    <w:p w14:paraId="033B981B">
      <w:pPr>
        <w:spacing w:before="163" w:beforeLines="50" w:after="163" w:afterLines="50"/>
        <w:ind w:firstLine="480"/>
        <w:rPr>
          <w:rFonts w:ascii="仿宋" w:hAnsi="仿宋"/>
          <w:szCs w:val="36"/>
        </w:rPr>
      </w:pPr>
      <w:r>
        <w:rPr>
          <w:rFonts w:hint="eastAsia" w:ascii="仿宋" w:hAnsi="仿宋"/>
          <w:szCs w:val="36"/>
        </w:rPr>
        <w:t>《中国城市轨道交通</w:t>
      </w:r>
      <w:r>
        <w:rPr>
          <w:rFonts w:ascii="仿宋" w:hAnsi="仿宋"/>
          <w:szCs w:val="36"/>
        </w:rPr>
        <w:t>TOD监测月报》是由上海易居房地产研究院与中国国土经济学会国土交通综合规划与开发（TOD）专业委员会共同研发，旨在以动态的眼光、全面的视角跟踪全国及各城市TOD政策及行业动向，地铁公司和典型房企的TOD土地成交和项目动态，进而了解并研判行业发展的新政策、新动态和新方向。</w:t>
      </w:r>
    </w:p>
    <w:p w14:paraId="20470825">
      <w:pPr>
        <w:pStyle w:val="2"/>
        <w:keepLines/>
        <w:widowControl w:val="0"/>
        <w:spacing w:before="163" w:after="163"/>
        <w:ind w:firstLine="562"/>
        <w:jc w:val="center"/>
        <w:rPr>
          <w:rFonts w:ascii="黑体" w:hAnsi="黑体" w:eastAsia="黑体" w:cs="Times New Roman"/>
          <w:color w:val="5B9BD5" w:themeColor="accent5"/>
          <w:kern w:val="44"/>
          <w:sz w:val="28"/>
          <w14:textFill>
            <w14:solidFill>
              <w14:schemeClr w14:val="accent5"/>
            </w14:solidFill>
          </w14:textFill>
        </w:rPr>
      </w:pPr>
      <w:bookmarkStart w:id="4" w:name="_Toc166095658"/>
      <w:bookmarkStart w:id="5" w:name="_Toc166169573"/>
      <w:bookmarkStart w:id="6" w:name="_Toc170978897"/>
      <w:r>
        <w:rPr>
          <w:b w:val="0"/>
          <w:bCs w:val="0"/>
        </w:rPr>
        <mc:AlternateContent>
          <mc:Choice Requires="wps">
            <w:drawing>
              <wp:anchor distT="118745" distB="118745" distL="114300" distR="114300" simplePos="0" relativeHeight="251665408" behindDoc="0" locked="0" layoutInCell="0" allowOverlap="1">
                <wp:simplePos x="0" y="0"/>
                <wp:positionH relativeFrom="margin">
                  <wp:posOffset>-93980</wp:posOffset>
                </wp:positionH>
                <wp:positionV relativeFrom="page">
                  <wp:posOffset>3426460</wp:posOffset>
                </wp:positionV>
                <wp:extent cx="5535295" cy="6710680"/>
                <wp:effectExtent l="0" t="0" r="8255" b="0"/>
                <wp:wrapSquare wrapText="bothSides"/>
                <wp:docPr id="69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535295" cy="6710680"/>
                        </a:xfrm>
                        <a:prstGeom prst="rect">
                          <a:avLst/>
                        </a:prstGeom>
                        <a:solidFill>
                          <a:schemeClr val="accent1">
                            <a:lumMod val="20000"/>
                            <a:lumOff val="80000"/>
                          </a:schemeClr>
                        </a:solidFill>
                      </wps:spPr>
                      <wps:txbx>
                        <w:txbxContent>
                          <w:p w14:paraId="6F086234">
                            <w:pPr>
                              <w:pStyle w:val="22"/>
                              <w:numPr>
                                <w:ilvl w:val="0"/>
                                <w:numId w:val="1"/>
                              </w:numPr>
                              <w:ind w:left="0" w:firstLine="480"/>
                              <w:jc w:val="both"/>
                              <w:rPr>
                                <w:rFonts w:ascii="仿宋" w:hAnsi="仿宋"/>
                                <w:szCs w:val="28"/>
                              </w:rPr>
                            </w:pPr>
                            <w:r>
                              <w:rPr>
                                <w:rFonts w:hint="eastAsia" w:ascii="仿宋" w:hAnsi="仿宋"/>
                                <w:szCs w:val="28"/>
                              </w:rPr>
                              <w:t>政策动态方面，本月仍以交通相关政策为主，地方发布了一条专门TOD政策，即中山市发布《关于加快推进南中城际中山段场站综合开发的实施意见》，这是中山市首份专门针对</w:t>
                            </w:r>
                            <w:r>
                              <w:rPr>
                                <w:rFonts w:ascii="仿宋" w:hAnsi="仿宋"/>
                                <w:szCs w:val="28"/>
                              </w:rPr>
                              <w:t>TOD综合开发的政策文件，</w:t>
                            </w:r>
                            <w:r>
                              <w:rPr>
                                <w:rFonts w:hint="eastAsia" w:ascii="仿宋" w:hAnsi="仿宋"/>
                                <w:szCs w:val="28"/>
                              </w:rPr>
                              <w:t>有助于构建中山TOD发展模式。自然资源部办公厅发布《节地技术和节地模式推荐目录（第四批）》，</w:t>
                            </w:r>
                            <w:r>
                              <w:rPr>
                                <w:rFonts w:hint="eastAsia" w:ascii="仿宋" w:hAnsi="仿宋" w:cs="宋体"/>
                                <w:kern w:val="2"/>
                              </w:rPr>
                              <w:t>其中15个案例是围绕“用地下换地上”开展的实践，涉及站城一体化建设、地上地下综合开发等模式，为土地集约利用提供了做法经验。</w:t>
                            </w:r>
                          </w:p>
                          <w:p w14:paraId="25834BBC">
                            <w:pPr>
                              <w:pStyle w:val="22"/>
                              <w:numPr>
                                <w:ilvl w:val="0"/>
                                <w:numId w:val="1"/>
                              </w:numPr>
                              <w:ind w:left="0" w:firstLine="480"/>
                              <w:jc w:val="both"/>
                              <w:rPr>
                                <w:rFonts w:ascii="仿宋" w:hAnsi="仿宋"/>
                                <w:szCs w:val="28"/>
                              </w:rPr>
                            </w:pPr>
                            <w:r>
                              <w:rPr>
                                <w:rFonts w:hint="eastAsia" w:ascii="仿宋" w:hAnsi="仿宋"/>
                                <w:szCs w:val="28"/>
                              </w:rPr>
                              <w:t>行业动态方面，各地稳步推进TOD规划工作，创新开展地铁存量用地的盘活利用。例如上海地铁18号线庙行停车场和嘉闵线马东动车所设计公示，南昌地铁1号线昌北停车场及配套综合楼规划公示等；长三角轨道交通运营公司拟组建，将推动长三角跨省城际、市域铁路运营的一体化；北京市政协召开议政性常委会，以高质量履职助推首都交通高质量发展；天津利用边角地块开发“地铁+生活服务设施”，盘活土地存量。</w:t>
                            </w:r>
                          </w:p>
                          <w:p w14:paraId="2605F471">
                            <w:pPr>
                              <w:pStyle w:val="22"/>
                              <w:numPr>
                                <w:ilvl w:val="0"/>
                                <w:numId w:val="1"/>
                              </w:numPr>
                              <w:ind w:left="0" w:firstLine="480"/>
                              <w:jc w:val="both"/>
                              <w:rPr>
                                <w:rFonts w:ascii="仿宋" w:hAnsi="仿宋"/>
                                <w:szCs w:val="28"/>
                              </w:rPr>
                            </w:pPr>
                            <w:r>
                              <w:rPr>
                                <w:rFonts w:hint="eastAsia" w:ascii="仿宋" w:hAnsi="仿宋"/>
                                <w:szCs w:val="28"/>
                              </w:rPr>
                              <w:t>企业动态方面，6月土地市场活跃，苏州轨道、重庆轨道、宁波轨道和昆明地铁公司纷纷拿地；深铁置业五大商业联席开售，其中</w:t>
                            </w:r>
                            <w:r>
                              <w:rPr>
                                <w:rFonts w:hint="eastAsia" w:ascii="仿宋" w:hAnsi="仿宋"/>
                                <w:kern w:val="2"/>
                              </w:rPr>
                              <w:t>汇德大厦</w:t>
                            </w:r>
                            <w:r>
                              <w:rPr>
                                <w:rFonts w:ascii="仿宋" w:hAnsi="仿宋"/>
                                <w:kern w:val="2"/>
                              </w:rPr>
                              <w:t>T4商业售出</w:t>
                            </w:r>
                            <w:r>
                              <w:rPr>
                                <w:rFonts w:hint="eastAsia" w:ascii="仿宋" w:hAnsi="仿宋"/>
                                <w:kern w:val="2"/>
                              </w:rPr>
                              <w:t>，显示出TOD商业的价值潜力；广州地铁与港铁战略合作，为粤港澳大湾区高质量发展注入新动力；越秀地产计划收购广州琶洲南TOD二期20%权益，进一步扩大其在</w:t>
                            </w:r>
                            <w:r>
                              <w:rPr>
                                <w:rFonts w:ascii="仿宋" w:hAnsi="仿宋"/>
                                <w:kern w:val="2"/>
                              </w:rPr>
                              <w:t>广州市的TOD</w:t>
                            </w:r>
                            <w:r>
                              <w:rPr>
                                <w:rFonts w:hint="eastAsia" w:ascii="仿宋" w:hAnsi="仿宋"/>
                                <w:kern w:val="2"/>
                              </w:rPr>
                              <w:t>项目版图。</w:t>
                            </w:r>
                          </w:p>
                          <w:p w14:paraId="61B7C1EB">
                            <w:pPr>
                              <w:pStyle w:val="22"/>
                              <w:numPr>
                                <w:ilvl w:val="0"/>
                                <w:numId w:val="1"/>
                              </w:numPr>
                              <w:ind w:left="0" w:firstLine="480"/>
                              <w:jc w:val="both"/>
                              <w:rPr>
                                <w:rFonts w:ascii="仿宋" w:hAnsi="仿宋"/>
                                <w:szCs w:val="28"/>
                              </w:rPr>
                            </w:pPr>
                            <w:r>
                              <w:rPr>
                                <w:rFonts w:hint="eastAsia" w:ascii="仿宋" w:hAnsi="仿宋"/>
                                <w:szCs w:val="28"/>
                              </w:rPr>
                              <w:t>项目动态方面，6月项目动态较多</w:t>
                            </w:r>
                            <w:r>
                              <w:rPr>
                                <w:rFonts w:hint="eastAsia" w:ascii="仿宋" w:hAnsi="仿宋"/>
                              </w:rPr>
                              <w:t>。上海万科首个POD（</w:t>
                            </w:r>
                            <w:r>
                              <w:rPr>
                                <w:rFonts w:hint="eastAsia" w:ascii="仿宋" w:hAnsi="仿宋"/>
                                <w:kern w:val="2"/>
                              </w:rPr>
                              <w:t>TOD+PARK</w:t>
                            </w:r>
                            <w:r>
                              <w:rPr>
                                <w:rFonts w:hint="eastAsia" w:ascii="仿宋" w:hAnsi="仿宋"/>
                              </w:rPr>
                              <w:t>）商业开业，引领TOD未来发展新趋势；深铁置业TOD未来生活馆获批深圳市科普基地，让市民实地体验</w:t>
                            </w:r>
                            <w:r>
                              <w:rPr>
                                <w:rFonts w:ascii="仿宋" w:hAnsi="仿宋"/>
                              </w:rPr>
                              <w:t>TOD给城市生活带来的改变</w:t>
                            </w:r>
                            <w:r>
                              <w:rPr>
                                <w:rFonts w:hint="eastAsia" w:ascii="仿宋" w:hAnsi="仿宋"/>
                              </w:rPr>
                              <w:t>；昆明市世博车辆段配售型保障性住房项目已计划开工，标志着</w:t>
                            </w:r>
                            <w:r>
                              <w:rPr>
                                <w:rFonts w:ascii="仿宋" w:hAnsi="仿宋"/>
                              </w:rPr>
                              <w:t>TOD在推动城市住房保障方面的积极作用。</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7.4pt;margin-top:269.8pt;height:528.4pt;width:435.85pt;mso-position-horizontal-relative:margin;mso-position-vertical-relative:page;mso-wrap-distance-bottom:9.35pt;mso-wrap-distance-left:9pt;mso-wrap-distance-right:9pt;mso-wrap-distance-top:9.35pt;z-index:251665408;mso-width-relative:page;mso-height-relative:page;" fillcolor="#DAE3F3 [660]" filled="t" stroked="f" coordsize="21600,21600" o:allowincell="f" o:gfxdata="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iO7lvaAAAADAEAAA8AAAAAAAAAAQAgAAAA&#10;IgAAAGRycy9kb3ducmV2LnhtbFBLAQIUABQAAAAIAIdO4kB7+2LtQgIAAGIEAAAOAAAAAAAAAAEA&#10;IAAAACkBAABkcnMvZTJvRG9jLnhtbFBLBQYAAAAABgAGAFkBAADdBQAAAAA=&#10;">
                <v:fill on="t" focussize="0,0"/>
                <v:stroke on="f"/>
                <v:imagedata o:title=""/>
                <o:lock v:ext="edit" aspectratio="f"/>
                <v:textbox>
                  <w:txbxContent>
                    <w:p w14:paraId="6F086234">
                      <w:pPr>
                        <w:pStyle w:val="22"/>
                        <w:numPr>
                          <w:ilvl w:val="0"/>
                          <w:numId w:val="1"/>
                        </w:numPr>
                        <w:ind w:left="0" w:firstLine="480"/>
                        <w:jc w:val="both"/>
                        <w:rPr>
                          <w:rFonts w:ascii="仿宋" w:hAnsi="仿宋"/>
                          <w:szCs w:val="28"/>
                        </w:rPr>
                      </w:pPr>
                      <w:r>
                        <w:rPr>
                          <w:rFonts w:hint="eastAsia" w:ascii="仿宋" w:hAnsi="仿宋"/>
                          <w:szCs w:val="28"/>
                        </w:rPr>
                        <w:t>政策动态方面，本月仍以交通相关政策为主，地方发布了一条专门TOD政策，即中山市发布《关于加快推进南中城际中山段场站综合开发的实施意见》，这是中山市首份专门针对</w:t>
                      </w:r>
                      <w:r>
                        <w:rPr>
                          <w:rFonts w:ascii="仿宋" w:hAnsi="仿宋"/>
                          <w:szCs w:val="28"/>
                        </w:rPr>
                        <w:t>TOD综合开发的政策文件，</w:t>
                      </w:r>
                      <w:r>
                        <w:rPr>
                          <w:rFonts w:hint="eastAsia" w:ascii="仿宋" w:hAnsi="仿宋"/>
                          <w:szCs w:val="28"/>
                        </w:rPr>
                        <w:t>有助于构建中山TOD发展模式。自然资源部办公厅发布《节地技术和节地模式推荐目录（第四批）》，</w:t>
                      </w:r>
                      <w:r>
                        <w:rPr>
                          <w:rFonts w:hint="eastAsia" w:ascii="仿宋" w:hAnsi="仿宋" w:cs="宋体"/>
                          <w:kern w:val="2"/>
                        </w:rPr>
                        <w:t>其中15个案例是围绕“用地下换地上”开展的实践，涉及站城一体化建设、地上地下综合开发等模式，为土地集约利用提供了做法经验。</w:t>
                      </w:r>
                    </w:p>
                    <w:p w14:paraId="25834BBC">
                      <w:pPr>
                        <w:pStyle w:val="22"/>
                        <w:numPr>
                          <w:ilvl w:val="0"/>
                          <w:numId w:val="1"/>
                        </w:numPr>
                        <w:ind w:left="0" w:firstLine="480"/>
                        <w:jc w:val="both"/>
                        <w:rPr>
                          <w:rFonts w:ascii="仿宋" w:hAnsi="仿宋"/>
                          <w:szCs w:val="28"/>
                        </w:rPr>
                      </w:pPr>
                      <w:r>
                        <w:rPr>
                          <w:rFonts w:hint="eastAsia" w:ascii="仿宋" w:hAnsi="仿宋"/>
                          <w:szCs w:val="28"/>
                        </w:rPr>
                        <w:t>行业动态方面，各地稳步推进TOD规划工作，创新开展地铁存量用地的盘活利用。例如上海地铁18号线庙行停车场和嘉闵线马东动车所设计公示，南昌地铁1号线昌北停车场及配套综合楼规划公示等；长三角轨道交通运营公司拟组建，将推动长三角跨省城际、市域铁路运营的一体化；北京市政协召开议政性常委会，以高质量履职助推首都交通高质量发展；天津利用边角地块开发“地铁+生活服务设施”，盘活土地存量。</w:t>
                      </w:r>
                    </w:p>
                    <w:p w14:paraId="2605F471">
                      <w:pPr>
                        <w:pStyle w:val="22"/>
                        <w:numPr>
                          <w:ilvl w:val="0"/>
                          <w:numId w:val="1"/>
                        </w:numPr>
                        <w:ind w:left="0" w:firstLine="480"/>
                        <w:jc w:val="both"/>
                        <w:rPr>
                          <w:rFonts w:ascii="仿宋" w:hAnsi="仿宋"/>
                          <w:szCs w:val="28"/>
                        </w:rPr>
                      </w:pPr>
                      <w:r>
                        <w:rPr>
                          <w:rFonts w:hint="eastAsia" w:ascii="仿宋" w:hAnsi="仿宋"/>
                          <w:szCs w:val="28"/>
                        </w:rPr>
                        <w:t>企业动态方面，6月土地市场活跃，苏州轨道、重庆轨道、宁波轨道和昆明地铁公司纷纷拿地；深铁置业五大商业联席开售，其中</w:t>
                      </w:r>
                      <w:r>
                        <w:rPr>
                          <w:rFonts w:hint="eastAsia" w:ascii="仿宋" w:hAnsi="仿宋"/>
                          <w:kern w:val="2"/>
                        </w:rPr>
                        <w:t>汇德大厦</w:t>
                      </w:r>
                      <w:r>
                        <w:rPr>
                          <w:rFonts w:ascii="仿宋" w:hAnsi="仿宋"/>
                          <w:kern w:val="2"/>
                        </w:rPr>
                        <w:t>T4商业售出</w:t>
                      </w:r>
                      <w:r>
                        <w:rPr>
                          <w:rFonts w:hint="eastAsia" w:ascii="仿宋" w:hAnsi="仿宋"/>
                          <w:kern w:val="2"/>
                        </w:rPr>
                        <w:t>，显示出TOD商业的价值潜力；广州地铁与港铁战略合作，为粤港澳大湾区高质量发展注入新动力；越秀地产计划收购广州琶洲南TOD二期20%权益，进一步扩大其在</w:t>
                      </w:r>
                      <w:r>
                        <w:rPr>
                          <w:rFonts w:ascii="仿宋" w:hAnsi="仿宋"/>
                          <w:kern w:val="2"/>
                        </w:rPr>
                        <w:t>广州市的TOD</w:t>
                      </w:r>
                      <w:r>
                        <w:rPr>
                          <w:rFonts w:hint="eastAsia" w:ascii="仿宋" w:hAnsi="仿宋"/>
                          <w:kern w:val="2"/>
                        </w:rPr>
                        <w:t>项目版图。</w:t>
                      </w:r>
                    </w:p>
                    <w:p w14:paraId="61B7C1EB">
                      <w:pPr>
                        <w:pStyle w:val="22"/>
                        <w:numPr>
                          <w:ilvl w:val="0"/>
                          <w:numId w:val="1"/>
                        </w:numPr>
                        <w:ind w:left="0" w:firstLine="480"/>
                        <w:jc w:val="both"/>
                        <w:rPr>
                          <w:rFonts w:ascii="仿宋" w:hAnsi="仿宋"/>
                          <w:szCs w:val="28"/>
                        </w:rPr>
                      </w:pPr>
                      <w:r>
                        <w:rPr>
                          <w:rFonts w:hint="eastAsia" w:ascii="仿宋" w:hAnsi="仿宋"/>
                          <w:szCs w:val="28"/>
                        </w:rPr>
                        <w:t>项目动态方面，6月项目动态较多</w:t>
                      </w:r>
                      <w:r>
                        <w:rPr>
                          <w:rFonts w:hint="eastAsia" w:ascii="仿宋" w:hAnsi="仿宋"/>
                        </w:rPr>
                        <w:t>。上海万科首个POD（</w:t>
                      </w:r>
                      <w:r>
                        <w:rPr>
                          <w:rFonts w:hint="eastAsia" w:ascii="仿宋" w:hAnsi="仿宋"/>
                          <w:kern w:val="2"/>
                        </w:rPr>
                        <w:t>TOD+PARK</w:t>
                      </w:r>
                      <w:r>
                        <w:rPr>
                          <w:rFonts w:hint="eastAsia" w:ascii="仿宋" w:hAnsi="仿宋"/>
                        </w:rPr>
                        <w:t>）商业开业，引领TOD未来发展新趋势；深铁置业TOD未来生活馆获批深圳市科普基地，让市民实地体验</w:t>
                      </w:r>
                      <w:r>
                        <w:rPr>
                          <w:rFonts w:ascii="仿宋" w:hAnsi="仿宋"/>
                        </w:rPr>
                        <w:t>TOD给城市生活带来的改变</w:t>
                      </w:r>
                      <w:r>
                        <w:rPr>
                          <w:rFonts w:hint="eastAsia" w:ascii="仿宋" w:hAnsi="仿宋"/>
                        </w:rPr>
                        <w:t>；昆明市世博车辆段配售型保障性住房项目已计划开工，标志着</w:t>
                      </w:r>
                      <w:r>
                        <w:rPr>
                          <w:rFonts w:ascii="仿宋" w:hAnsi="仿宋"/>
                        </w:rPr>
                        <w:t>TOD在推动城市住房保障方面的积极作用。</w:t>
                      </w:r>
                    </w:p>
                  </w:txbxContent>
                </v:textbox>
                <w10:wrap type="square"/>
              </v:shape>
            </w:pict>
          </mc:Fallback>
        </mc:AlternateContent>
      </w:r>
      <w:r>
        <w:rPr>
          <w:rFonts w:ascii="黑体" w:hAnsi="黑体" w:eastAsia="黑体" w:cs="Times New Roman"/>
          <w:color w:val="5B9BD5" w:themeColor="accent5"/>
          <w:kern w:val="44"/>
          <w:sz w:val="28"/>
          <w14:textFill>
            <w14:solidFill>
              <w14:schemeClr w14:val="accent5"/>
            </w14:solidFill>
          </w14:textFill>
        </w:rPr>
        <w:t>摘要</w:t>
      </w:r>
      <w:bookmarkEnd w:id="4"/>
      <w:bookmarkEnd w:id="5"/>
      <w:bookmarkEnd w:id="6"/>
    </w:p>
    <w:p w14:paraId="248401D7">
      <w:pPr>
        <w:pStyle w:val="38"/>
        <w:ind w:firstLine="480"/>
        <w:sectPr>
          <w:pgSz w:w="11906" w:h="16838"/>
          <w:pgMar w:top="1440" w:right="1800" w:bottom="1440" w:left="1800" w:header="1474" w:footer="964" w:gutter="0"/>
          <w:pgNumType w:start="1"/>
          <w:cols w:space="425" w:num="1"/>
          <w:docGrid w:type="lines" w:linePitch="326" w:charSpace="0"/>
        </w:sectPr>
      </w:pPr>
    </w:p>
    <w:p w14:paraId="08517FA2">
      <w:pPr>
        <w:pStyle w:val="2"/>
        <w:keepLines/>
        <w:widowControl w:val="0"/>
        <w:spacing w:before="163" w:after="163"/>
        <w:ind w:firstLine="562"/>
        <w:jc w:val="center"/>
        <w:rPr>
          <w:rFonts w:ascii="黑体" w:hAnsi="黑体" w:eastAsia="黑体" w:cs="Times New Roman"/>
          <w:color w:val="5B9BD5" w:themeColor="accent5"/>
          <w:kern w:val="44"/>
          <w:sz w:val="28"/>
          <w14:textFill>
            <w14:solidFill>
              <w14:schemeClr w14:val="accent5"/>
            </w14:solidFill>
          </w14:textFill>
        </w:rPr>
      </w:pPr>
      <w:bookmarkStart w:id="7" w:name="_Toc170978898"/>
      <w:r>
        <w:rPr>
          <w:rFonts w:hint="eastAsia" w:ascii="黑体" w:hAnsi="黑体" w:eastAsia="黑体" w:cs="Times New Roman"/>
          <w:color w:val="5B9BD5" w:themeColor="accent5"/>
          <w:kern w:val="44"/>
          <w:sz w:val="28"/>
          <w14:textFill>
            <w14:solidFill>
              <w14:schemeClr w14:val="accent5"/>
            </w14:solidFill>
          </w14:textFill>
        </w:rPr>
        <w:t>一</w:t>
      </w:r>
      <w:r>
        <w:rPr>
          <w:rFonts w:ascii="黑体" w:hAnsi="黑体" w:eastAsia="黑体" w:cs="Times New Roman"/>
          <w:color w:val="5B9BD5" w:themeColor="accent5"/>
          <w:kern w:val="44"/>
          <w:sz w:val="28"/>
          <w14:textFill>
            <w14:solidFill>
              <w14:schemeClr w14:val="accent5"/>
            </w14:solidFill>
          </w14:textFill>
        </w:rPr>
        <w:t>、政策动态</w:t>
      </w:r>
      <w:bookmarkEnd w:id="7"/>
    </w:p>
    <w:p w14:paraId="61E689DC">
      <w:pPr>
        <w:pStyle w:val="2"/>
        <w:numPr>
          <w:ilvl w:val="0"/>
          <w:numId w:val="2"/>
        </w:numPr>
        <w:ind w:left="442" w:hanging="442"/>
      </w:pPr>
      <w:bookmarkStart w:id="8" w:name="_Toc170978899"/>
      <w:r>
        <w:rPr>
          <w:rFonts w:hint="eastAsia"/>
        </w:rPr>
        <w:t>交通运输部、国家铁路局联合发布《关于加强城际铁路、市域（郊）铁路监督管理的意见》</w:t>
      </w:r>
      <w:bookmarkEnd w:id="8"/>
    </w:p>
    <w:p w14:paraId="6443A9F1">
      <w:pPr>
        <w:pStyle w:val="14"/>
        <w:spacing w:before="0" w:beforeAutospacing="0" w:after="0" w:afterAutospacing="0" w:line="360" w:lineRule="auto"/>
        <w:ind w:firstLine="480"/>
        <w:jc w:val="both"/>
        <w:rPr>
          <w:rFonts w:ascii="仿宋" w:hAnsi="仿宋" w:eastAsia="仿宋"/>
          <w:kern w:val="2"/>
        </w:rPr>
      </w:pPr>
      <w:r>
        <w:rPr>
          <w:rFonts w:hint="eastAsia" w:ascii="仿宋" w:hAnsi="仿宋" w:eastAsia="仿宋"/>
          <w:kern w:val="2"/>
        </w:rPr>
        <w:t>6月3日，交通运输部、国家铁路局联合发布的</w:t>
      </w:r>
      <w:bookmarkStart w:id="9" w:name="_Hlk170736253"/>
      <w:r>
        <w:rPr>
          <w:rFonts w:hint="eastAsia" w:ascii="仿宋" w:hAnsi="仿宋" w:eastAsia="仿宋"/>
          <w:kern w:val="2"/>
        </w:rPr>
        <w:t>《关于加强城际铁路、市域（郊）铁路监督管理的意见》</w:t>
      </w:r>
      <w:bookmarkEnd w:id="9"/>
      <w:r>
        <w:rPr>
          <w:rFonts w:hint="eastAsia" w:ascii="仿宋" w:hAnsi="仿宋" w:eastAsia="仿宋"/>
          <w:kern w:val="2"/>
        </w:rPr>
        <w:t>（以下简称《意见》）提出，支持城际铁路、市域（郊）铁路、城市轨道交通在枢纽场站换乘衔接，深入推进安检互信、资源共享、票制互通、支付兼容，推动满足基础设施、机车车辆、通信信号等标准体系兼容和运营管理一体条件的城际铁路、市域（郊）铁路与城市轨道交通实现直通运营。</w:t>
      </w:r>
      <w:r>
        <w:rPr>
          <w:rFonts w:ascii="仿宋" w:hAnsi="仿宋" w:eastAsia="仿宋"/>
          <w:kern w:val="2"/>
        </w:rPr>
        <w:t>《意见》鼓励省级交通运输主管部门根据本地区城际铁路、市域（郊）铁路技术特点、服务区域出行要求等，通过深化体制机制改革和制定地方性法规规章等多种方式，建立与本地发展实际相适应的监管制度和监管方式。</w:t>
      </w:r>
    </w:p>
    <w:p w14:paraId="12DB6768">
      <w:pPr>
        <w:pStyle w:val="6"/>
      </w:pPr>
      <w:r>
        <w:rPr>
          <w:rFonts w:hint="eastAsia"/>
        </w:rPr>
        <w:t>点评：</w:t>
      </w:r>
      <w:r>
        <w:t>近年来，我国城镇化建设进程加快，城际铁路、市域（郊）铁路发展迅速</w:t>
      </w:r>
      <w:r>
        <w:rPr>
          <w:rFonts w:hint="eastAsia"/>
        </w:rPr>
        <w:t>，但也存在着监管界面不清晰、监管制度不健全、衔接协调不顺畅等问题。《意见》的出台为地方政府完善监管制度提供了政策指导，有助于推进“四网融合”发展。</w:t>
      </w:r>
    </w:p>
    <w:p w14:paraId="56B6A5BB">
      <w:pPr>
        <w:pStyle w:val="2"/>
        <w:numPr>
          <w:ilvl w:val="0"/>
          <w:numId w:val="2"/>
        </w:numPr>
        <w:ind w:left="442" w:hanging="442"/>
        <w:rPr>
          <w:rFonts w:ascii="仿宋" w:hAnsi="仿宋" w:cs="Arial"/>
          <w:color w:val="222222"/>
          <w:kern w:val="0"/>
          <w:szCs w:val="24"/>
          <w:shd w:val="clear" w:color="auto" w:fill="FFFFFF"/>
          <w:lang w:bidi="ar"/>
        </w:rPr>
      </w:pPr>
      <w:bookmarkStart w:id="10" w:name="_Toc170978900"/>
      <w:r>
        <w:rPr>
          <w:rFonts w:hint="eastAsia"/>
        </w:rPr>
        <w:t>《咸阳市综合交通体系规划（2022-</w:t>
      </w:r>
      <w:r>
        <w:rPr>
          <w:rFonts w:hint="eastAsia" w:ascii="仿宋" w:hAnsi="仿宋"/>
          <w:szCs w:val="24"/>
        </w:rPr>
        <w:t>2035年）》公开征求意见</w:t>
      </w:r>
      <w:bookmarkEnd w:id="10"/>
    </w:p>
    <w:p w14:paraId="3800D3B2">
      <w:pPr>
        <w:pStyle w:val="14"/>
        <w:spacing w:before="0" w:beforeAutospacing="0" w:after="0" w:afterAutospacing="0" w:line="360" w:lineRule="auto"/>
        <w:ind w:firstLine="480"/>
        <w:jc w:val="both"/>
        <w:rPr>
          <w:rFonts w:ascii="仿宋" w:hAnsi="仿宋" w:eastAsia="仿宋"/>
        </w:rPr>
      </w:pPr>
      <w:r>
        <w:rPr>
          <w:rFonts w:hint="eastAsia" w:ascii="仿宋" w:hAnsi="仿宋" w:eastAsia="仿宋"/>
        </w:rPr>
        <w:t>6月3日，咸阳市自然资源局将《咸阳市综合交通体系规划（2022-2035年）》主要内容予以公示，并征求意见。铁路方面，重点强化区域影响力，实现全域城铁全通达；依托国家高铁陆桥走廊和银海通道，与西安共建国家级高铁枢纽。规划形成“2高铁5市域（郊）5普铁5</w:t>
      </w:r>
      <w:r>
        <w:rPr>
          <w:rFonts w:hint="eastAsia" w:ascii="仿宋" w:hAnsi="仿宋" w:eastAsia="仿宋"/>
          <w:kern w:val="2"/>
        </w:rPr>
        <w:t>专用线</w:t>
      </w:r>
      <w:r>
        <w:rPr>
          <w:rFonts w:hint="eastAsia" w:ascii="仿宋" w:hAnsi="仿宋" w:eastAsia="仿宋"/>
        </w:rPr>
        <w:t>”铁路网布局。客运枢纽体系方面，规划形成层级分明、分工明确、系统衔接的客运枢纽体系，以西安咸阳国际机场、高铁站为核心，建设综合交通枢纽，规划形成“1+14”客运枢纽体系。公共交通系统规划方面，中心城区规划形成6条轨道交通线路，分别为1号线三期、11号线、20号线、22号线、24号线以及14号线支线。中心城区规划4条中运量公交线路，加强咸阳主城区-经开区-机场-空港新城、秦汉新城-主城区-高新区-沣西新城的联系，促进区域同城化发展。</w:t>
      </w:r>
    </w:p>
    <w:p w14:paraId="17863A40">
      <w:pPr>
        <w:pStyle w:val="2"/>
        <w:numPr>
          <w:ilvl w:val="0"/>
          <w:numId w:val="2"/>
        </w:numPr>
        <w:ind w:left="442" w:hanging="442"/>
      </w:pPr>
      <w:bookmarkStart w:id="11" w:name="_Toc170978901"/>
      <w:r>
        <w:rPr>
          <w:rFonts w:hint="eastAsia"/>
        </w:rPr>
        <w:t>交通运输部、财政部办公厅联合印发《关于开展</w:t>
      </w:r>
      <w:r>
        <w:t>2024年国家综合货运枢纽补链强链申报工作的通知》</w:t>
      </w:r>
      <w:bookmarkEnd w:id="11"/>
    </w:p>
    <w:p w14:paraId="13757229">
      <w:pPr>
        <w:pStyle w:val="14"/>
        <w:spacing w:before="0" w:beforeAutospacing="0" w:after="0" w:afterAutospacing="0" w:line="360" w:lineRule="auto"/>
        <w:ind w:firstLine="480"/>
        <w:jc w:val="both"/>
        <w:rPr>
          <w:rFonts w:ascii="仿宋" w:hAnsi="仿宋" w:eastAsia="仿宋"/>
          <w:kern w:val="2"/>
        </w:rPr>
      </w:pPr>
      <w:r>
        <w:rPr>
          <w:rFonts w:ascii="仿宋" w:hAnsi="仿宋" w:eastAsia="仿宋"/>
          <w:kern w:val="2"/>
        </w:rPr>
        <w:t>6月4日，交通运输部办公厅、财政部办公厅联合印发</w:t>
      </w:r>
      <w:bookmarkStart w:id="12" w:name="_Hlk170736900"/>
      <w:r>
        <w:rPr>
          <w:rFonts w:ascii="仿宋" w:hAnsi="仿宋" w:eastAsia="仿宋"/>
          <w:kern w:val="2"/>
        </w:rPr>
        <w:t>《关于开展2024年国家综合货运枢纽补链强链申报工作的通知》</w:t>
      </w:r>
      <w:bookmarkEnd w:id="12"/>
      <w:r>
        <w:rPr>
          <w:rFonts w:hint="eastAsia" w:ascii="仿宋" w:hAnsi="仿宋" w:eastAsia="仿宋"/>
          <w:kern w:val="2"/>
        </w:rPr>
        <w:t>（以下简称《通知》）</w:t>
      </w:r>
      <w:r>
        <w:rPr>
          <w:rFonts w:ascii="仿宋" w:hAnsi="仿宋" w:eastAsia="仿宋"/>
          <w:kern w:val="2"/>
        </w:rPr>
        <w:t>。</w:t>
      </w:r>
      <w:r>
        <w:rPr>
          <w:rFonts w:hint="eastAsia" w:ascii="仿宋" w:hAnsi="仿宋" w:eastAsia="仿宋"/>
          <w:kern w:val="2"/>
        </w:rPr>
        <w:t>《通知》指出，落实巩固提高一体化国家战略体系和能力的要求，聚焦国家综合立体交通网主骨架关键节点，深入实施国家综合货运枢纽补链强链，拓展重点区域覆盖面，引导强化跨方式衔接、跨区域联动、跨领域融合，注重发展新质生产力，打通交通物流堵点卡点，保障产业链供应链运输链安全稳定畅通，推进交通物流提质降本增效，奋力加快建设交通强国，努力当好中国式现代化的开路先锋。《通知》明确，推动国家综合货运枢纽补链强链城市提质扩面，与前两批城市协同互补、互相促进，分布更加平衡合理。聚焦国家综合立体交通网主骨架6轴7廊8通道，增强跨区域交通资源配置能力。</w:t>
      </w:r>
    </w:p>
    <w:p w14:paraId="133F74C0">
      <w:pPr>
        <w:pStyle w:val="2"/>
        <w:numPr>
          <w:ilvl w:val="0"/>
          <w:numId w:val="2"/>
        </w:numPr>
        <w:ind w:left="442" w:hanging="442"/>
        <w:rPr>
          <w:rFonts w:ascii="仿宋" w:hAnsi="仿宋" w:cs="Arial"/>
          <w:b w:val="0"/>
          <w:bCs w:val="0"/>
          <w:color w:val="222222"/>
          <w:kern w:val="0"/>
          <w:shd w:val="clear" w:color="auto" w:fill="FFFFFF"/>
          <w:lang w:bidi="ar"/>
        </w:rPr>
      </w:pPr>
      <w:bookmarkStart w:id="13" w:name="_Toc170978902"/>
      <w:r>
        <w:t>《中共成都市委关于加快建设国际门户枢纽城市以高水平开放推动高质量发展的决定》</w:t>
      </w:r>
      <w:r>
        <w:rPr>
          <w:rFonts w:ascii="仿宋" w:hAnsi="仿宋" w:cs="Arial"/>
          <w:color w:val="222222"/>
          <w:kern w:val="0"/>
          <w:shd w:val="clear" w:color="auto" w:fill="FFFFFF"/>
          <w:lang w:bidi="ar"/>
        </w:rPr>
        <w:t>审议通过</w:t>
      </w:r>
      <w:bookmarkEnd w:id="13"/>
    </w:p>
    <w:p w14:paraId="046E9EE1">
      <w:pPr>
        <w:pStyle w:val="14"/>
        <w:spacing w:before="0" w:beforeAutospacing="0" w:after="0" w:afterAutospacing="0" w:line="360" w:lineRule="auto"/>
        <w:ind w:firstLine="480"/>
        <w:jc w:val="both"/>
        <w:rPr>
          <w:rFonts w:ascii="仿宋" w:hAnsi="仿宋" w:eastAsia="仿宋"/>
          <w:kern w:val="2"/>
        </w:rPr>
      </w:pPr>
      <w:r>
        <w:rPr>
          <w:rFonts w:ascii="仿宋" w:hAnsi="仿宋" w:eastAsia="仿宋"/>
          <w:kern w:val="2"/>
        </w:rPr>
        <w:t>6月5日召开的中共成都市委十四届五次全体会议审议通过了《中共成都市委关于加快建设国际门户枢纽城市以高水平开放推动高质量发展的决定》（以下简称《决定》）。《决定》紧紧围绕加快建设国际门户枢纽城市，以高水平开放推动高质量发展，秉持以大开放促进大发展理念，前瞻性地提出了提质建设立体全面开放通道、加快构建开放型经济体系、全面深化对外交流交往、深入推进高水平制度型开放、协同推进成都都市圈建设等重点任务，路径清晰、指向明确、举措扎实，必将以高水平开放激发成都高质量发展强大动能</w:t>
      </w:r>
      <w:r>
        <w:rPr>
          <w:rFonts w:hint="eastAsia" w:ascii="仿宋" w:hAnsi="仿宋" w:eastAsia="仿宋"/>
          <w:kern w:val="2"/>
        </w:rPr>
        <w:t>。</w:t>
      </w:r>
    </w:p>
    <w:p w14:paraId="4A683347">
      <w:pPr>
        <w:pStyle w:val="2"/>
        <w:numPr>
          <w:ilvl w:val="0"/>
          <w:numId w:val="2"/>
        </w:numPr>
        <w:ind w:left="442" w:hanging="442"/>
        <w:rPr>
          <w:rFonts w:ascii="仿宋" w:hAnsi="仿宋" w:cs="Arial"/>
          <w:color w:val="222222"/>
          <w:kern w:val="0"/>
          <w:szCs w:val="24"/>
          <w:shd w:val="clear" w:color="auto" w:fill="FFFFFF"/>
          <w:lang w:bidi="ar"/>
        </w:rPr>
      </w:pPr>
      <w:bookmarkStart w:id="14" w:name="_Toc170978903"/>
      <w:r>
        <w:rPr>
          <w:rFonts w:hint="eastAsia"/>
        </w:rPr>
        <w:t>《包头市加快建设交通强国五年行动计划（</w:t>
      </w:r>
      <w:r>
        <w:t>2023—2027年）》</w:t>
      </w:r>
      <w:r>
        <w:rPr>
          <w:rFonts w:hint="eastAsia" w:ascii="仿宋" w:hAnsi="仿宋" w:cs="Arial"/>
          <w:color w:val="222222"/>
          <w:kern w:val="0"/>
          <w:szCs w:val="24"/>
          <w:shd w:val="clear" w:color="auto" w:fill="FFFFFF"/>
          <w:lang w:bidi="ar"/>
        </w:rPr>
        <w:t>发布</w:t>
      </w:r>
      <w:bookmarkEnd w:id="14"/>
    </w:p>
    <w:p w14:paraId="1A83F8A5">
      <w:pPr>
        <w:pStyle w:val="14"/>
        <w:spacing w:before="0" w:beforeAutospacing="0" w:after="0" w:afterAutospacing="0" w:line="360" w:lineRule="auto"/>
        <w:ind w:firstLine="480"/>
        <w:jc w:val="both"/>
        <w:rPr>
          <w:rFonts w:ascii="仿宋" w:hAnsi="仿宋" w:eastAsia="仿宋"/>
          <w:kern w:val="2"/>
        </w:rPr>
      </w:pPr>
      <w:r>
        <w:rPr>
          <w:rFonts w:ascii="仿宋" w:hAnsi="仿宋" w:eastAsia="仿宋"/>
          <w:kern w:val="2"/>
        </w:rPr>
        <w:t>6月11日，包头市交通强国建设工作领导小组办公室印发了《包头市加快建设交通强国五年行动计划（2023—2027年）》</w:t>
      </w:r>
      <w:r>
        <w:rPr>
          <w:rFonts w:hint="eastAsia" w:ascii="仿宋" w:hAnsi="仿宋" w:eastAsia="仿宋"/>
          <w:kern w:val="2"/>
        </w:rPr>
        <w:t>（以下简称《计划》）。《计划》明确到2025年，安全、便捷、高效、绿色、经济的现代化综合交通运输体系初步建成，交通硬实力和软实力大幅提升，交通运输对全市经济社会高质量发展的引领和支撑能力显著提升；到2027年，交通强国建设取得阶段性成果，交通基础设施网络更加完善，运输服务更加高效，融合发展更加深入，安全保障更加可靠，开放合作更加广泛，发展模式更可持续，治理体系更加完备，实现交通运输质的有效提升和量的合理增长，支撑保障包头市在中国式现代化建设中闯出新路，经济总量稳定增长。同时配套印发了《包头市加快建设交通强国2024年重点工作任务清单》和《包头市交通强国建设工作领导小组工作规则》</w:t>
      </w:r>
      <w:r>
        <w:rPr>
          <w:rFonts w:ascii="仿宋" w:hAnsi="仿宋" w:eastAsia="仿宋"/>
          <w:kern w:val="2"/>
        </w:rPr>
        <w:t>。</w:t>
      </w:r>
    </w:p>
    <w:p w14:paraId="6DE9FF8C">
      <w:pPr>
        <w:pStyle w:val="2"/>
        <w:numPr>
          <w:ilvl w:val="0"/>
          <w:numId w:val="2"/>
        </w:numPr>
        <w:ind w:left="442" w:hanging="442"/>
        <w:rPr>
          <w:rFonts w:ascii="仿宋" w:hAnsi="仿宋"/>
          <w:kern w:val="2"/>
          <w:szCs w:val="24"/>
        </w:rPr>
      </w:pPr>
      <w:bookmarkStart w:id="15" w:name="_Toc170978904"/>
      <w:r>
        <w:rPr>
          <w:rFonts w:hint="eastAsia" w:ascii="仿宋" w:hAnsi="仿宋"/>
          <w:kern w:val="2"/>
        </w:rPr>
        <w:t>《河南省国土空间规划（2021-2035年）》发布</w:t>
      </w:r>
      <w:bookmarkEnd w:id="15"/>
    </w:p>
    <w:p w14:paraId="0E34D050">
      <w:pPr>
        <w:pStyle w:val="14"/>
        <w:spacing w:before="0" w:beforeAutospacing="0" w:after="0" w:afterAutospacing="0" w:line="360" w:lineRule="auto"/>
        <w:ind w:firstLine="480"/>
        <w:jc w:val="both"/>
        <w:rPr>
          <w:rFonts w:ascii="仿宋" w:hAnsi="仿宋" w:eastAsia="仿宋"/>
          <w:kern w:val="2"/>
        </w:rPr>
      </w:pPr>
      <w:r>
        <w:rPr>
          <w:rFonts w:hint="eastAsia" w:ascii="仿宋" w:hAnsi="仿宋" w:eastAsia="仿宋"/>
          <w:kern w:val="2"/>
        </w:rPr>
        <w:t>6月12日，河南省人民政府发布《河南省国土空间规划（2021-2035年）》，这是全国第14个公开发布的省级国土空间规划。此次发布的河南省国土空间规划公开稿，包括基础与形势、指导思想与战略目标、以“三区三线”为基础，构建出彩中原新格局、严格保护耕地，推进农业现代化、保育多样化生态空间，促进人与自然和谐共生、优化城镇空间布局，推进以人为本的新型城镇化、统筹县域空间布局，支持推进乡村振兴、支持现代化基础设施建设，推动安全绿色发展、保护自然与文化遗产，彰显国土空间魅力、强化节约集约，促进资源保护与高效利用、保障规划实施，实现治理现代化等共11章内容。</w:t>
      </w:r>
    </w:p>
    <w:p w14:paraId="1FB232F5">
      <w:pPr>
        <w:pStyle w:val="2"/>
        <w:numPr>
          <w:ilvl w:val="0"/>
          <w:numId w:val="2"/>
        </w:numPr>
        <w:ind w:left="442" w:hanging="442"/>
        <w:rPr>
          <w:rFonts w:ascii="仿宋" w:hAnsi="仿宋"/>
          <w:kern w:val="2"/>
          <w:szCs w:val="24"/>
        </w:rPr>
      </w:pPr>
      <w:bookmarkStart w:id="16" w:name="_Toc170978905"/>
      <w:r>
        <w:rPr>
          <w:rFonts w:hint="eastAsia" w:ascii="仿宋" w:hAnsi="仿宋"/>
          <w:kern w:val="2"/>
          <w:szCs w:val="24"/>
        </w:rPr>
        <w:t>中山市发布</w:t>
      </w:r>
      <w:r>
        <w:rPr>
          <w:rFonts w:hint="eastAsia"/>
        </w:rPr>
        <w:t>《关于加快推进南中城际中山段场站综合开发的实施意见》</w:t>
      </w:r>
      <w:bookmarkEnd w:id="16"/>
    </w:p>
    <w:p w14:paraId="1259AD5C">
      <w:pPr>
        <w:pStyle w:val="14"/>
        <w:spacing w:before="0" w:beforeAutospacing="0" w:after="0" w:afterAutospacing="0" w:line="360" w:lineRule="auto"/>
        <w:ind w:firstLine="480"/>
        <w:jc w:val="both"/>
        <w:rPr>
          <w:rFonts w:ascii="仿宋" w:hAnsi="仿宋" w:eastAsia="仿宋"/>
          <w:kern w:val="2"/>
        </w:rPr>
      </w:pPr>
      <w:bookmarkStart w:id="17" w:name="_Hlk170896114"/>
      <w:r>
        <w:rPr>
          <w:rFonts w:hint="eastAsia" w:ascii="仿宋" w:hAnsi="仿宋" w:eastAsia="仿宋"/>
          <w:kern w:val="2"/>
        </w:rPr>
        <w:t>6月16日，中山市人民政府发布</w:t>
      </w:r>
      <w:r>
        <w:rPr>
          <w:rFonts w:ascii="仿宋" w:hAnsi="仿宋" w:eastAsia="仿宋"/>
          <w:kern w:val="2"/>
        </w:rPr>
        <w:t>《关于加快推进南中城际中山段场站综合开发的实施意见》</w:t>
      </w:r>
      <w:r>
        <w:rPr>
          <w:rFonts w:hint="eastAsia" w:ascii="仿宋" w:hAnsi="仿宋" w:eastAsia="仿宋"/>
          <w:kern w:val="2"/>
        </w:rPr>
        <w:t>（以下简称《实施意见》），旨在贯彻TOD引导城市发展的理念，建立符合中山市发展实际的轨道交通场站及周边土地综合开发利用模式，促进土地资源的集约利用、城市功能结构的优化提升、城市与轨道交通的高质量可持续健康发展，切实推进南中城际场站及周边土地综合开发利用。《实施意见》包含南中城际中山段</w:t>
      </w:r>
      <w:r>
        <w:rPr>
          <w:rFonts w:ascii="仿宋" w:hAnsi="仿宋" w:eastAsia="仿宋"/>
          <w:kern w:val="2"/>
        </w:rPr>
        <w:t>TOD的总体要求、工作推进机制、保障措施及其他四个部分</w:t>
      </w:r>
      <w:r>
        <w:rPr>
          <w:rFonts w:hint="eastAsia" w:ascii="仿宋" w:hAnsi="仿宋" w:eastAsia="仿宋"/>
          <w:kern w:val="2"/>
        </w:rPr>
        <w:t>，提出以南中城际高质量可持续发展需求为导向，坚持站城融合、协同发展的要求，依托“统一规划、统一筹资、统筹开发、做优做强”，构建中山</w:t>
      </w:r>
      <w:r>
        <w:rPr>
          <w:rFonts w:ascii="仿宋" w:hAnsi="仿宋" w:eastAsia="仿宋"/>
          <w:kern w:val="2"/>
        </w:rPr>
        <w:t>TOD创新模式。</w:t>
      </w:r>
    </w:p>
    <w:bookmarkEnd w:id="17"/>
    <w:p w14:paraId="155C596C">
      <w:pPr>
        <w:pStyle w:val="6"/>
      </w:pPr>
      <w:r>
        <w:rPr>
          <w:rFonts w:hint="eastAsia"/>
        </w:rPr>
        <w:t>点评：政策出台的背景主要基于南中城际于</w:t>
      </w:r>
      <w:r>
        <w:t>2023年3月30日正式动工，岐江新城站、香山站等一批重点站场TOD工作全面铺开，</w:t>
      </w:r>
      <w:r>
        <w:rPr>
          <w:rFonts w:hint="eastAsia"/>
        </w:rPr>
        <w:t>亟需</w:t>
      </w:r>
      <w:r>
        <w:t>搭建好政策体系</w:t>
      </w:r>
      <w:r>
        <w:rPr>
          <w:rFonts w:hint="eastAsia"/>
        </w:rPr>
        <w:t>。政策核心内容包括明确TOD综合开发的目标定位、科学划定综合开发用地范围、创新规划管控的灵活性、优化土地供应方式以及支持市属国企做优做强。政策的发布，标志着中山市</w:t>
      </w:r>
      <w:r>
        <w:t>TOD发展进入全新阶段，不仅为中山TOD开发指明了方向，同时将引导中山市探索并形成具有地方特色的TOD发展模式。</w:t>
      </w:r>
    </w:p>
    <w:p w14:paraId="5F1AE2E2">
      <w:pPr>
        <w:pStyle w:val="2"/>
        <w:numPr>
          <w:ilvl w:val="0"/>
          <w:numId w:val="2"/>
        </w:numPr>
        <w:ind w:left="442" w:hanging="442"/>
        <w:rPr>
          <w:rFonts w:ascii="仿宋" w:hAnsi="仿宋"/>
          <w:kern w:val="2"/>
          <w:szCs w:val="24"/>
        </w:rPr>
      </w:pPr>
      <w:bookmarkStart w:id="18" w:name="_Toc170978906"/>
      <w:r>
        <w:rPr>
          <w:rFonts w:hint="eastAsia" w:ascii="仿宋" w:hAnsi="仿宋"/>
          <w:kern w:val="2"/>
          <w:szCs w:val="24"/>
        </w:rPr>
        <w:t>国家发改委等部门提出优化城市公共交通场站地上地下空间综合开发</w:t>
      </w:r>
      <w:bookmarkEnd w:id="18"/>
    </w:p>
    <w:p w14:paraId="4DB3CF04">
      <w:pPr>
        <w:pStyle w:val="14"/>
        <w:spacing w:before="0" w:beforeAutospacing="0" w:after="0" w:afterAutospacing="0" w:line="360" w:lineRule="auto"/>
        <w:ind w:firstLine="480"/>
        <w:jc w:val="both"/>
        <w:rPr>
          <w:rFonts w:ascii="仿宋" w:hAnsi="仿宋" w:eastAsia="仿宋"/>
          <w:kern w:val="2"/>
        </w:rPr>
      </w:pPr>
      <w:r>
        <w:rPr>
          <w:rFonts w:ascii="仿宋" w:hAnsi="仿宋" w:eastAsia="仿宋"/>
          <w:kern w:val="2"/>
        </w:rPr>
        <w:t>6月24日，国家发展改革委等部门印发《关于打造消费新场景培育消费新增长点的措施》。其中提出，推动购物消费多元融合发展。推动现有步行街设施改造和业态升级，积极发展智慧商圈，打造商旅文体融合的新型消费空间。鼓励利用老旧厂房、城市公园、草坪广场等开放空间打造创意市集、露营休闲区。探索社会闲置公共资源商业化运营，鼓励经营困难的传统百货店、大型体育场馆等改造为商业综合体。鼓励有条件的地方科学制定以公共交通为导向（TOD）的模式，优化城市公共交通场站地上地下空间综合开发，推进汽车客运站综合开发利用。</w:t>
      </w:r>
    </w:p>
    <w:p w14:paraId="64673AEC">
      <w:pPr>
        <w:pStyle w:val="14"/>
        <w:spacing w:before="0" w:beforeAutospacing="0" w:after="0" w:afterAutospacing="0" w:line="360" w:lineRule="auto"/>
        <w:ind w:firstLine="482"/>
        <w:jc w:val="both"/>
        <w:rPr>
          <w:rFonts w:eastAsia="仿宋" w:asciiTheme="minorHAnsi" w:hAnsiTheme="minorHAnsi" w:cstheme="minorBidi"/>
          <w:b/>
          <w:bCs/>
          <w:color w:val="4472C4" w:themeColor="accent1"/>
          <w:kern w:val="2"/>
          <w:szCs w:val="22"/>
          <w14:textFill>
            <w14:solidFill>
              <w14:schemeClr w14:val="accent1"/>
            </w14:solidFill>
          </w14:textFill>
        </w:rPr>
      </w:pPr>
      <w:r>
        <w:rPr>
          <w:rFonts w:hint="eastAsia" w:eastAsia="仿宋" w:asciiTheme="minorHAnsi" w:hAnsiTheme="minorHAnsi" w:cstheme="minorBidi"/>
          <w:b/>
          <w:bCs/>
          <w:color w:val="4472C4" w:themeColor="accent1"/>
          <w:kern w:val="2"/>
          <w:szCs w:val="22"/>
          <w14:textFill>
            <w14:solidFill>
              <w14:schemeClr w14:val="accent1"/>
            </w14:solidFill>
          </w14:textFill>
        </w:rPr>
        <w:t>点评：轨道交通场站TOD项目是打造消费新场景、培育消费新增长点的重要载体。</w:t>
      </w:r>
    </w:p>
    <w:p w14:paraId="25480812">
      <w:pPr>
        <w:pStyle w:val="2"/>
        <w:numPr>
          <w:ilvl w:val="0"/>
          <w:numId w:val="2"/>
        </w:numPr>
        <w:ind w:left="442" w:hanging="442"/>
        <w:rPr>
          <w:rFonts w:ascii="仿宋" w:hAnsi="仿宋"/>
          <w:b w:val="0"/>
          <w:bCs w:val="0"/>
          <w:kern w:val="2"/>
        </w:rPr>
      </w:pPr>
      <w:bookmarkStart w:id="19" w:name="_Toc170978907"/>
      <w:bookmarkStart w:id="20" w:name="_Hlk170919375"/>
      <w:r>
        <w:rPr>
          <w:rFonts w:hint="eastAsia" w:ascii="仿宋" w:hAnsi="仿宋"/>
          <w:kern w:val="2"/>
        </w:rPr>
        <w:t>自然资源部办公厅发布</w:t>
      </w:r>
      <w:r>
        <w:rPr>
          <w:rFonts w:hint="eastAsia"/>
        </w:rPr>
        <w:t>《节地技术和节地模式推荐目录（第四批）》</w:t>
      </w:r>
      <w:bookmarkEnd w:id="19"/>
    </w:p>
    <w:bookmarkEnd w:id="20"/>
    <w:p w14:paraId="576A50B6">
      <w:pPr>
        <w:pStyle w:val="14"/>
        <w:spacing w:before="0" w:beforeAutospacing="0" w:after="0" w:afterAutospacing="0" w:line="360" w:lineRule="auto"/>
        <w:ind w:firstLine="480"/>
        <w:jc w:val="both"/>
        <w:rPr>
          <w:rFonts w:ascii="仿宋" w:hAnsi="仿宋" w:eastAsia="仿宋"/>
          <w:kern w:val="2"/>
        </w:rPr>
      </w:pPr>
      <w:r>
        <w:rPr>
          <w:rFonts w:ascii="仿宋" w:hAnsi="仿宋" w:eastAsia="仿宋"/>
          <w:kern w:val="2"/>
        </w:rPr>
        <w:t>2024年6月25日是第34个全国土地日，活动主题是“节约集约用地 严守耕地红线”。当天，自然资源部办公厅正式对外发布《节地技术和节地模式推荐目录（第四批）》。本次推荐目录共收录了来自26个省（区、市）的38个节地技术与节地模式典型案例，覆盖四大领域：基础设施领域8个、公共服务设施领域10个、产业园区及工业项目领域13个、城乡高质量发展领域7个。</w:t>
      </w:r>
      <w:r>
        <w:rPr>
          <w:rFonts w:hint="eastAsia" w:ascii="仿宋" w:hAnsi="仿宋" w:eastAsia="仿宋"/>
          <w:kern w:val="2"/>
        </w:rPr>
        <w:t>其中，15个案例是围绕“用地下换地上”开展的实践。主要是通过城市交通系统互联互通、站城一体化建设、地上地下空间综合开发，构建铁路、机场交通枢纽综合体；通过合理开发利用地下空间，布设停车场、市政管线、学校风雨操场、污水处理厂等公共服务设施，支撑“平急两用”公共基础设施建设；通过立体划分市政道路空间，建设架空连廊、地面道路、地下通道，加强区域联通，缓解区域交通压力等。</w:t>
      </w:r>
    </w:p>
    <w:p w14:paraId="3B46C6DE">
      <w:pPr>
        <w:pStyle w:val="14"/>
        <w:shd w:val="clear" w:color="auto" w:fill="FFFFFF"/>
        <w:spacing w:before="0" w:beforeAutospacing="0" w:after="0" w:afterAutospacing="0" w:line="360" w:lineRule="auto"/>
        <w:ind w:firstLine="480"/>
        <w:jc w:val="both"/>
      </w:pPr>
    </w:p>
    <w:p w14:paraId="679F5943">
      <w:pPr>
        <w:ind w:firstLine="480"/>
        <w:sectPr>
          <w:headerReference r:id="rId12" w:type="default"/>
          <w:pgSz w:w="11906" w:h="16838"/>
          <w:pgMar w:top="1440" w:right="1800" w:bottom="1440" w:left="1800" w:header="1474" w:footer="964" w:gutter="0"/>
          <w:cols w:space="425" w:num="1"/>
          <w:docGrid w:type="lines" w:linePitch="326" w:charSpace="0"/>
        </w:sectPr>
      </w:pPr>
    </w:p>
    <w:p w14:paraId="4BA5F5A2">
      <w:pPr>
        <w:pStyle w:val="2"/>
        <w:keepLines/>
        <w:widowControl w:val="0"/>
        <w:spacing w:before="163" w:after="163"/>
        <w:ind w:firstLine="562"/>
        <w:jc w:val="center"/>
        <w:rPr>
          <w:rFonts w:ascii="黑体" w:hAnsi="黑体" w:eastAsia="黑体" w:cs="Times New Roman"/>
          <w:color w:val="5B9BD5" w:themeColor="accent5"/>
          <w:kern w:val="44"/>
          <w:sz w:val="28"/>
          <w14:textFill>
            <w14:solidFill>
              <w14:schemeClr w14:val="accent5"/>
            </w14:solidFill>
          </w14:textFill>
        </w:rPr>
      </w:pPr>
      <w:bookmarkStart w:id="21" w:name="_Toc170978908"/>
      <w:r>
        <w:rPr>
          <w:rFonts w:hint="eastAsia" w:ascii="黑体" w:hAnsi="黑体" w:eastAsia="黑体" w:cs="Times New Roman"/>
          <w:color w:val="5B9BD5" w:themeColor="accent5"/>
          <w:kern w:val="44"/>
          <w:sz w:val="28"/>
          <w14:textFill>
            <w14:solidFill>
              <w14:schemeClr w14:val="accent5"/>
            </w14:solidFill>
          </w14:textFill>
        </w:rPr>
        <w:t>二</w:t>
      </w:r>
      <w:r>
        <w:rPr>
          <w:rFonts w:ascii="黑体" w:hAnsi="黑体" w:eastAsia="黑体" w:cs="Times New Roman"/>
          <w:color w:val="5B9BD5" w:themeColor="accent5"/>
          <w:kern w:val="44"/>
          <w:sz w:val="28"/>
          <w14:textFill>
            <w14:solidFill>
              <w14:schemeClr w14:val="accent5"/>
            </w14:solidFill>
          </w14:textFill>
        </w:rPr>
        <w:t>、行业动态</w:t>
      </w:r>
      <w:bookmarkEnd w:id="21"/>
    </w:p>
    <w:p w14:paraId="4620B84E">
      <w:pPr>
        <w:pStyle w:val="2"/>
        <w:numPr>
          <w:ilvl w:val="0"/>
          <w:numId w:val="3"/>
        </w:numPr>
      </w:pPr>
      <w:bookmarkStart w:id="22" w:name="_Toc170978909"/>
      <w:r>
        <w:rPr>
          <w:rFonts w:hint="eastAsia"/>
        </w:rPr>
        <w:t>5月城市轨道交通客运量达27．9亿人次</w:t>
      </w:r>
      <w:bookmarkEnd w:id="22"/>
    </w:p>
    <w:p w14:paraId="704B5F2D">
      <w:pPr>
        <w:pStyle w:val="14"/>
        <w:spacing w:before="0" w:beforeAutospacing="0" w:after="0" w:afterAutospacing="0" w:line="360" w:lineRule="auto"/>
        <w:ind w:firstLine="480"/>
        <w:jc w:val="both"/>
        <w:rPr>
          <w:rFonts w:ascii="仿宋" w:hAnsi="仿宋" w:eastAsia="仿宋"/>
          <w:kern w:val="2"/>
        </w:rPr>
      </w:pPr>
      <w:r>
        <w:rPr>
          <w:rFonts w:ascii="仿宋" w:hAnsi="仿宋" w:eastAsia="仿宋"/>
          <w:kern w:val="2"/>
        </w:rPr>
        <w:t>交通运输部</w:t>
      </w:r>
      <w:r>
        <w:rPr>
          <w:rFonts w:hint="eastAsia" w:ascii="仿宋" w:hAnsi="仿宋" w:eastAsia="仿宋"/>
          <w:kern w:val="2"/>
        </w:rPr>
        <w:t>6月6</w:t>
      </w:r>
      <w:r>
        <w:rPr>
          <w:rFonts w:ascii="仿宋" w:hAnsi="仿宋" w:eastAsia="仿宋"/>
          <w:kern w:val="2"/>
        </w:rPr>
        <w:t>日公布5月份我国城市轨道交通相关数据。5月份，我国31个省（自治区、直辖市）和新疆生产建设兵团共有54个城市开通运营城市轨道交通线路310条，完成客运量27.9亿人次，进站量16.7亿人次。5月份，54个城市轨道交通运营里程为10286.2公里，实际开行列车349万列次；客运量环比增加0.3亿人次，增长1.1%，同比增加2.9亿人次，增长11.7%。5月份，我国新增运营里程12.5公里，新增运营区段1个，为合肥地铁4号线延长线。</w:t>
      </w:r>
    </w:p>
    <w:p w14:paraId="04D4E1F8">
      <w:pPr>
        <w:pStyle w:val="2"/>
        <w:numPr>
          <w:ilvl w:val="0"/>
          <w:numId w:val="3"/>
        </w:numPr>
        <w:ind w:left="442" w:hanging="442"/>
        <w:rPr>
          <w:rFonts w:ascii="仿宋" w:hAnsi="仿宋" w:cs="Arial"/>
          <w:b w:val="0"/>
          <w:bCs w:val="0"/>
          <w:color w:val="222222"/>
          <w:kern w:val="0"/>
          <w:shd w:val="clear" w:color="auto" w:fill="FFFFFF"/>
          <w:lang w:bidi="ar"/>
        </w:rPr>
      </w:pPr>
      <w:bookmarkStart w:id="23" w:name="_Toc170978910"/>
      <w:r>
        <w:rPr>
          <w:rFonts w:hint="eastAsia" w:ascii="仿宋" w:hAnsi="仿宋" w:cs="Arial"/>
          <w:color w:val="222222"/>
          <w:kern w:val="0"/>
          <w:shd w:val="clear" w:color="auto" w:fill="FFFFFF"/>
          <w:lang w:bidi="ar"/>
        </w:rPr>
        <w:t>交通运输部</w:t>
      </w:r>
      <w:r>
        <w:rPr>
          <w:rFonts w:hint="eastAsia"/>
        </w:rPr>
        <w:t>发布</w:t>
      </w:r>
      <w:r>
        <w:rPr>
          <w:rFonts w:hint="eastAsia" w:ascii="仿宋" w:hAnsi="仿宋" w:cs="Arial"/>
          <w:color w:val="222222"/>
          <w:kern w:val="0"/>
          <w:shd w:val="clear" w:color="auto" w:fill="FFFFFF"/>
          <w:lang w:bidi="ar"/>
        </w:rPr>
        <w:t>2023年交通运输</w:t>
      </w:r>
      <w:r>
        <w:rPr>
          <w:rFonts w:hint="eastAsia"/>
        </w:rPr>
        <w:t>行业</w:t>
      </w:r>
      <w:r>
        <w:rPr>
          <w:rFonts w:hint="eastAsia" w:ascii="仿宋" w:hAnsi="仿宋" w:cs="Arial"/>
          <w:color w:val="222222"/>
          <w:kern w:val="0"/>
          <w:shd w:val="clear" w:color="auto" w:fill="FFFFFF"/>
          <w:lang w:bidi="ar"/>
        </w:rPr>
        <w:t>发展统计公报</w:t>
      </w:r>
      <w:bookmarkEnd w:id="23"/>
    </w:p>
    <w:p w14:paraId="75ED92C6">
      <w:pPr>
        <w:pStyle w:val="14"/>
        <w:spacing w:before="0" w:beforeAutospacing="0" w:after="0" w:afterAutospacing="0" w:line="360" w:lineRule="auto"/>
        <w:ind w:firstLine="480"/>
        <w:jc w:val="both"/>
        <w:rPr>
          <w:rFonts w:ascii="仿宋" w:hAnsi="仿宋" w:eastAsia="仿宋"/>
          <w:kern w:val="2"/>
        </w:rPr>
      </w:pPr>
      <w:r>
        <w:rPr>
          <w:rFonts w:hint="eastAsia" w:ascii="仿宋" w:hAnsi="仿宋" w:eastAsia="仿宋"/>
          <w:kern w:val="2"/>
        </w:rPr>
        <w:t>6月18日，交通运输部发布2023年交通运输行业发展统计公报。报告显示，铁路方面，年末全国铁路营业里程15.9万公里，其中高铁营业里程4.5万公里。投产新线3637公里，其中高铁2776公里。全国铁路路网密度165.2公里/万平方公里，比上年末增加4.1公里/万平方公里。全年完成旅客发送量38.55亿人次，比上年增长130.4%，完成旅客周转量14729亿人公里、增长123.9%。全年完成铁路固定资产投资7645亿元，比上年增长7.5%。城市客运方面，年末全国公共汽电车运营线路7.98万条，比上年末增加0.18万条，运营线路总长度173.39万公里、增加6.94万公里。城市轨道交通运营线路308条、增加16条，运营里程10158.6公里、增加604.0公里，其中地铁线路256条、9042.3公里，轻轨线路7条、267.5公里。全年完成城市客运量1010.00亿人次，比上年增长27.7%，其中城市轨道交通客运量293.89亿人次、增长52.2%。</w:t>
      </w:r>
    </w:p>
    <w:p w14:paraId="3624B229">
      <w:pPr>
        <w:pStyle w:val="2"/>
        <w:numPr>
          <w:ilvl w:val="0"/>
          <w:numId w:val="3"/>
        </w:numPr>
        <w:rPr>
          <w:rFonts w:ascii="仿宋" w:hAnsi="仿宋"/>
          <w:b w:val="0"/>
          <w:bCs w:val="0"/>
        </w:rPr>
      </w:pPr>
      <w:bookmarkStart w:id="24" w:name="_Toc170978911"/>
      <w:r>
        <w:rPr>
          <w:rFonts w:hint="eastAsia"/>
        </w:rPr>
        <w:t>中国城市轨道交通协会印发《中国城市轨道交通多元融合发展指南》</w:t>
      </w:r>
      <w:bookmarkEnd w:id="24"/>
    </w:p>
    <w:p w14:paraId="38D3AF07">
      <w:pPr>
        <w:pStyle w:val="14"/>
        <w:spacing w:before="0" w:beforeAutospacing="0" w:after="0" w:afterAutospacing="0" w:line="360" w:lineRule="auto"/>
        <w:ind w:firstLine="480"/>
        <w:jc w:val="both"/>
        <w:rPr>
          <w:rFonts w:ascii="仿宋" w:hAnsi="仿宋" w:eastAsia="仿宋"/>
          <w:kern w:val="2"/>
        </w:rPr>
      </w:pPr>
      <w:r>
        <w:rPr>
          <w:rFonts w:hint="eastAsia" w:ascii="仿宋" w:hAnsi="仿宋" w:eastAsia="仿宋"/>
          <w:kern w:val="2"/>
        </w:rPr>
        <w:t>6月18日，中国城市轨道交通协会印发《中国城市轨道交通多元融合发展指南》（以下简称《指南》）。《指南》提出了融合城轨建设的指导思想，阐述了融合城轨的内涵标志，描绘了融合城轨发展“1-9-3-5-5”发展蓝图，即绘制一张融合城轨发展蓝图、推进“区域、四网、多交、线路、站城、系统、绿智、文旅、业务”九元融合，聚焦“引客流、增收益、降成本”三大方向、发力“客流、财务、技术、装备和生态”五个可持续，实施“规划、服务、技术、管理和经营”五个协同。制定了“两步走”发展战略，明确了“政府政策引领、各方协同发力、评价体系助力、协会服务推进”四项保障措施。</w:t>
      </w:r>
    </w:p>
    <w:p w14:paraId="0D7310E4">
      <w:pPr>
        <w:pStyle w:val="2"/>
        <w:numPr>
          <w:ilvl w:val="0"/>
          <w:numId w:val="3"/>
        </w:numPr>
      </w:pPr>
      <w:bookmarkStart w:id="25" w:name="_Toc170978912"/>
      <w:r>
        <w:rPr>
          <w:rFonts w:hint="eastAsia"/>
        </w:rPr>
        <w:t>长三角轨道交通运营公司拟组建，推动</w:t>
      </w:r>
      <w:r>
        <w:rPr>
          <w:rFonts w:hint="eastAsia" w:ascii="仿宋" w:hAnsi="仿宋"/>
          <w:kern w:val="2"/>
        </w:rPr>
        <w:t>跨省城际、市域铁路运营的一体化</w:t>
      </w:r>
      <w:bookmarkEnd w:id="25"/>
    </w:p>
    <w:p w14:paraId="125BB713">
      <w:pPr>
        <w:pStyle w:val="14"/>
        <w:spacing w:before="0" w:beforeAutospacing="0" w:after="0" w:afterAutospacing="0" w:line="360" w:lineRule="auto"/>
        <w:ind w:firstLine="480"/>
        <w:jc w:val="both"/>
        <w:rPr>
          <w:rFonts w:ascii="仿宋" w:hAnsi="仿宋" w:eastAsia="仿宋"/>
          <w:kern w:val="2"/>
        </w:rPr>
      </w:pPr>
      <w:r>
        <w:rPr>
          <w:rFonts w:hint="eastAsia" w:ascii="仿宋" w:hAnsi="仿宋" w:eastAsia="仿宋"/>
          <w:kern w:val="2"/>
        </w:rPr>
        <w:t>从6月6日</w:t>
      </w:r>
      <w:r>
        <w:rPr>
          <w:rFonts w:ascii="仿宋" w:hAnsi="仿宋" w:eastAsia="仿宋"/>
          <w:kern w:val="2"/>
        </w:rPr>
        <w:t>第六届长三角一体化发展高层论坛</w:t>
      </w:r>
      <w:r>
        <w:rPr>
          <w:rFonts w:hint="eastAsia" w:ascii="仿宋" w:hAnsi="仿宋" w:eastAsia="仿宋"/>
          <w:kern w:val="2"/>
        </w:rPr>
        <w:t>上获悉，本次论坛发布10项签约项目，包括组建长三角轨道交通运营公司，推动长三角地区跨省城际、市域铁路运营一体化。长三角地区作为我国经济发展最为活跃的区域之一，其交通基础设施的完善与否直接关系到区域经济的持续健康发展。轨道交通作为现代城市交通的重要组成部分，其运营效率和服务质量的高低直接影响着城市的吸引力和竞争力。组建长三角轨道交通运营公司，实现跨省城际、市域铁路运营的一体化，不仅有助于提升长三角地区的交通效率，更将进一步促进区域经济的融合发展。</w:t>
      </w:r>
    </w:p>
    <w:p w14:paraId="0E765E13">
      <w:pPr>
        <w:pStyle w:val="2"/>
        <w:numPr>
          <w:ilvl w:val="0"/>
          <w:numId w:val="3"/>
        </w:numPr>
        <w:rPr>
          <w:rFonts w:ascii="仿宋" w:hAnsi="仿宋"/>
          <w:b w:val="0"/>
          <w:bCs w:val="0"/>
          <w:szCs w:val="24"/>
        </w:rPr>
      </w:pPr>
      <w:bookmarkStart w:id="26" w:name="_Toc170978913"/>
      <w:r>
        <w:rPr>
          <w:rFonts w:hint="eastAsia" w:ascii="仿宋" w:hAnsi="仿宋"/>
          <w:szCs w:val="24"/>
        </w:rPr>
        <w:t>北京多个地铁站2024年新开出入口，加强轨道车站与周边建筑联通</w:t>
      </w:r>
      <w:bookmarkEnd w:id="26"/>
    </w:p>
    <w:p w14:paraId="6E03AE68">
      <w:pPr>
        <w:pStyle w:val="14"/>
        <w:spacing w:before="0" w:beforeAutospacing="0" w:after="0" w:afterAutospacing="0" w:line="360" w:lineRule="auto"/>
        <w:ind w:firstLine="480"/>
        <w:jc w:val="both"/>
        <w:rPr>
          <w:rFonts w:ascii="仿宋" w:hAnsi="仿宋" w:eastAsia="仿宋"/>
          <w:kern w:val="2"/>
        </w:rPr>
      </w:pPr>
      <w:r>
        <w:rPr>
          <w:rFonts w:hint="eastAsia" w:ascii="仿宋" w:hAnsi="仿宋" w:eastAsia="仿宋"/>
          <w:kern w:val="2"/>
        </w:rPr>
        <w:t>6月17日至21日，北京市举办交通综合治理专题研讨班，为首都交通综合治理出谋划策。2024年北京“一点一策”推进111个重点点位治理，同时将推动16号线西北旺站、大兴线新宫站等多个地铁站新开出入口，加强轨道车站与周边建筑联通。研讨班上，市交通委相关负责人介绍，目前各项任务进展顺利，比如重点工程方面，丰台站和朝阳站综合交通枢纽、国道109新线高速、东六环入地等重点工程有序推进。地铁3号线一期、昌平线南延完成车站主体结构，1号线支线实现了开工。备受关注的北京城市副中心综合交通枢纽2025年开通运营，届时北京将形成“八站两场”综合交通枢纽格局。</w:t>
      </w:r>
    </w:p>
    <w:p w14:paraId="1E46ABC4">
      <w:pPr>
        <w:pStyle w:val="2"/>
        <w:numPr>
          <w:ilvl w:val="0"/>
          <w:numId w:val="3"/>
        </w:numPr>
        <w:rPr>
          <w:rFonts w:ascii="仿宋" w:hAnsi="仿宋" w:cs="Arial"/>
          <w:b w:val="0"/>
          <w:bCs w:val="0"/>
          <w:color w:val="222222"/>
          <w:kern w:val="0"/>
          <w:szCs w:val="24"/>
          <w:shd w:val="clear" w:color="auto" w:fill="FFFFFF"/>
          <w:lang w:bidi="ar"/>
        </w:rPr>
      </w:pPr>
      <w:bookmarkStart w:id="27" w:name="_Toc170978914"/>
      <w:r>
        <w:rPr>
          <w:rFonts w:ascii="仿宋" w:hAnsi="仿宋" w:cs="Arial"/>
          <w:color w:val="222222"/>
          <w:kern w:val="0"/>
          <w:szCs w:val="24"/>
          <w:shd w:val="clear" w:color="auto" w:fill="FFFFFF"/>
          <w:lang w:bidi="ar"/>
        </w:rPr>
        <w:t>北京市政协召开议政性常委会</w:t>
      </w:r>
      <w:r>
        <w:rPr>
          <w:rFonts w:hint="eastAsia" w:ascii="仿宋" w:hAnsi="仿宋" w:cs="Arial"/>
          <w:color w:val="222222"/>
          <w:kern w:val="0"/>
          <w:szCs w:val="24"/>
          <w:shd w:val="clear" w:color="auto" w:fill="FFFFFF"/>
          <w:lang w:bidi="ar"/>
        </w:rPr>
        <w:t>，</w:t>
      </w:r>
      <w:r>
        <w:rPr>
          <w:rFonts w:ascii="仿宋" w:hAnsi="仿宋" w:cs="Arial"/>
          <w:color w:val="222222"/>
          <w:kern w:val="0"/>
          <w:szCs w:val="24"/>
          <w:shd w:val="clear" w:color="auto" w:fill="FFFFFF"/>
          <w:lang w:bidi="ar"/>
        </w:rPr>
        <w:t>以高质量履职助推首都交通高质量发展</w:t>
      </w:r>
      <w:bookmarkEnd w:id="27"/>
    </w:p>
    <w:p w14:paraId="18384BE8">
      <w:pPr>
        <w:pStyle w:val="14"/>
        <w:spacing w:before="0" w:beforeAutospacing="0" w:after="0" w:afterAutospacing="0" w:line="360" w:lineRule="auto"/>
        <w:ind w:firstLine="480"/>
        <w:jc w:val="both"/>
        <w:rPr>
          <w:rFonts w:ascii="仿宋" w:hAnsi="仿宋" w:eastAsia="仿宋"/>
          <w:kern w:val="2"/>
        </w:rPr>
      </w:pPr>
      <w:r>
        <w:rPr>
          <w:rFonts w:hint="eastAsia" w:ascii="仿宋" w:hAnsi="仿宋" w:eastAsia="仿宋"/>
          <w:kern w:val="2"/>
        </w:rPr>
        <w:t>6月24日，政协北京市第十四届委员会常务委员会召开第九次会议，围绕“加强交通综合治理和优化升级，构建现代化智能化城市交通网络体系”专题协商议政。北京市政协主席魏小东出席并讲话。会议邀请中国国土经济学会国土交通综合规划与开发（TOD）专业委员会副会长兼专家委主任、清华大学交通研究所所长陆化普，围绕“实现北京城市高质量发展的交通对策与政策建议”作专题辅导报告。北京市政协调研组经过深入调查研究，在发挥规划引领、推进公共交通融合发展、提升交通枢纽统筹建设和运营水平等方面形成5点共识，并围绕促进交通与城市协调发展、构建出行“一张网”、推动站城融合协同发展、深化交通综合治理、加快交通设施数字化转型升级五个方面，提出18条对策建议提交会议审议，并进行分组讨论。</w:t>
      </w:r>
    </w:p>
    <w:p w14:paraId="0B994CA8">
      <w:pPr>
        <w:pStyle w:val="2"/>
        <w:numPr>
          <w:ilvl w:val="0"/>
          <w:numId w:val="3"/>
        </w:numPr>
        <w:rPr>
          <w:rFonts w:ascii="仿宋" w:hAnsi="仿宋"/>
          <w:b w:val="0"/>
          <w:bCs w:val="0"/>
          <w:kern w:val="2"/>
        </w:rPr>
      </w:pPr>
      <w:bookmarkStart w:id="28" w:name="_Toc170978915"/>
      <w:r>
        <w:rPr>
          <w:rFonts w:hint="eastAsia" w:ascii="仿宋" w:hAnsi="仿宋"/>
          <w:kern w:val="2"/>
        </w:rPr>
        <w:t>上海市轨道交通18号线（二期）庙行停车场设计公示</w:t>
      </w:r>
      <w:bookmarkEnd w:id="28"/>
    </w:p>
    <w:p w14:paraId="051ED9E1">
      <w:pPr>
        <w:pStyle w:val="14"/>
        <w:spacing w:before="0" w:beforeAutospacing="0" w:after="0" w:afterAutospacing="0" w:line="360" w:lineRule="auto"/>
        <w:ind w:firstLine="480"/>
        <w:jc w:val="both"/>
        <w:rPr>
          <w:rFonts w:ascii="仿宋" w:hAnsi="仿宋" w:eastAsia="仿宋"/>
          <w:kern w:val="2"/>
        </w:rPr>
      </w:pPr>
      <w:r>
        <w:rPr>
          <w:rFonts w:hint="eastAsia" w:ascii="仿宋" w:hAnsi="仿宋" w:eastAsia="仿宋"/>
          <w:kern w:val="2"/>
        </w:rPr>
        <w:t>6月3日，上海市规划和自然资源局网站将上海市轨道交通18号线二期工程庙行车辆段（含出入场线明挖段）设计方案进行公示。18号线二期工程庙行停车场（暂名），接轨与呼兰路站，场址位于南蕰藻路东侧、北侧，康宁路西侧，蕰藻浜（规划呼兰西路）南侧合围的地块内。地块用地20.156万平方米，东西长约900米，南北最宽处约220米。庙行停车场，设计建筑面积5.8346万平方米。庙行停车场为带上盖开发的停车场，预留开发条件，上盖板高度9.5米（局部8.6米、14.0米）。设计单体建筑包括停车列检库、检修库及调机库、物资仓库、洗车库、混合变电所、水处理用房、废品库等，多数位于上盖板下方，及综合楼、垃圾房、易燃品库、辅助用房、门卫等。</w:t>
      </w:r>
    </w:p>
    <w:p w14:paraId="603E8FE4">
      <w:pPr>
        <w:pStyle w:val="2"/>
        <w:numPr>
          <w:ilvl w:val="0"/>
          <w:numId w:val="3"/>
        </w:numPr>
        <w:rPr>
          <w:rFonts w:ascii="仿宋" w:hAnsi="仿宋"/>
          <w:kern w:val="2"/>
          <w:szCs w:val="24"/>
        </w:rPr>
      </w:pPr>
      <w:bookmarkStart w:id="29" w:name="_Toc170978916"/>
      <w:r>
        <w:rPr>
          <w:rFonts w:hint="eastAsia" w:ascii="仿宋" w:hAnsi="仿宋"/>
          <w:kern w:val="2"/>
          <w:szCs w:val="24"/>
        </w:rPr>
        <w:t>上海市轨道交通</w:t>
      </w:r>
      <w:r>
        <w:rPr>
          <w:rFonts w:ascii="仿宋" w:hAnsi="仿宋"/>
          <w:kern w:val="2"/>
          <w:szCs w:val="24"/>
        </w:rPr>
        <w:t>嘉闵线马东动车运用所设计方案公示</w:t>
      </w:r>
      <w:bookmarkEnd w:id="29"/>
    </w:p>
    <w:p w14:paraId="5B23194F">
      <w:pPr>
        <w:pStyle w:val="14"/>
        <w:spacing w:before="0" w:beforeAutospacing="0" w:after="0" w:afterAutospacing="0" w:line="360" w:lineRule="auto"/>
        <w:ind w:firstLine="480"/>
        <w:jc w:val="both"/>
        <w:rPr>
          <w:rFonts w:ascii="仿宋" w:hAnsi="仿宋" w:eastAsia="仿宋"/>
          <w:kern w:val="2"/>
        </w:rPr>
      </w:pPr>
      <w:r>
        <w:rPr>
          <w:rFonts w:hint="eastAsia" w:ascii="仿宋" w:hAnsi="仿宋" w:eastAsia="仿宋"/>
          <w:kern w:val="2"/>
        </w:rPr>
        <w:t>6月12日，</w:t>
      </w:r>
      <w:r>
        <w:rPr>
          <w:rFonts w:ascii="仿宋" w:hAnsi="仿宋" w:eastAsia="仿宋"/>
          <w:kern w:val="2"/>
        </w:rPr>
        <w:t>上海市规划和自然资源局</w:t>
      </w:r>
      <w:r>
        <w:rPr>
          <w:rFonts w:hint="eastAsia" w:ascii="仿宋" w:hAnsi="仿宋" w:eastAsia="仿宋"/>
          <w:kern w:val="2"/>
        </w:rPr>
        <w:t>网站发布了《关于上海轨道交通市域线嘉闵线马东动车运用所工程建设工程设计方案的公示》。</w:t>
      </w:r>
      <w:r>
        <w:rPr>
          <w:rFonts w:ascii="仿宋" w:hAnsi="仿宋" w:eastAsia="仿宋"/>
          <w:kern w:val="2"/>
        </w:rPr>
        <w:t>据悉，嘉闵线马东动车运用所走行线接轨于丰茂路站。动车所内主要房屋有存车库、检查库、临修镟轮库、易燃品库、综合楼、洗车库、牵引变电所及门卫等房屋，总用地面积约24.6ha。除综合楼、牵引变电所、易燃品库等建筑单体外，其余均设置在盖下。新建嘉闵线马东动车运用所上盖预留结构的盖板面积约23万平方米，上盖层规划以住宅用地为主，同时设置商业办公、社区服务等功能</w:t>
      </w:r>
      <w:r>
        <w:rPr>
          <w:rFonts w:hint="eastAsia" w:ascii="仿宋" w:hAnsi="仿宋" w:eastAsia="仿宋"/>
          <w:kern w:val="2"/>
        </w:rPr>
        <w:t>。</w:t>
      </w:r>
    </w:p>
    <w:p w14:paraId="5F85685E">
      <w:pPr>
        <w:pStyle w:val="2"/>
        <w:numPr>
          <w:ilvl w:val="0"/>
          <w:numId w:val="3"/>
        </w:numPr>
        <w:rPr>
          <w:rFonts w:ascii="仿宋" w:hAnsi="仿宋"/>
          <w:kern w:val="2"/>
          <w:szCs w:val="24"/>
        </w:rPr>
      </w:pPr>
      <w:bookmarkStart w:id="30" w:name="_Toc170978917"/>
      <w:r>
        <w:rPr>
          <w:rFonts w:hint="eastAsia" w:ascii="仿宋" w:hAnsi="仿宋"/>
          <w:kern w:val="2"/>
          <w:szCs w:val="24"/>
        </w:rPr>
        <w:t>上海</w:t>
      </w:r>
      <w:r>
        <w:rPr>
          <w:rFonts w:ascii="仿宋" w:hAnsi="仿宋"/>
          <w:kern w:val="2"/>
          <w:szCs w:val="24"/>
        </w:rPr>
        <w:t>示范区线徐乐北路</w:t>
      </w:r>
      <w:r>
        <w:rPr>
          <w:rFonts w:ascii="仿宋" w:hAnsi="仿宋" w:cs="Arial"/>
          <w:color w:val="222222"/>
          <w:shd w:val="clear" w:color="auto" w:fill="FFFFFF"/>
          <w:lang w:bidi="ar"/>
        </w:rPr>
        <w:t>站站</w:t>
      </w:r>
      <w:r>
        <w:rPr>
          <w:rFonts w:ascii="仿宋" w:hAnsi="仿宋"/>
          <w:kern w:val="2"/>
          <w:szCs w:val="24"/>
        </w:rPr>
        <w:t>城启动控规编制</w:t>
      </w:r>
      <w:bookmarkEnd w:id="30"/>
    </w:p>
    <w:p w14:paraId="1C01BE95">
      <w:pPr>
        <w:pStyle w:val="14"/>
        <w:spacing w:before="0" w:beforeAutospacing="0" w:after="0" w:afterAutospacing="0" w:line="360" w:lineRule="auto"/>
        <w:ind w:firstLine="480"/>
        <w:jc w:val="both"/>
        <w:rPr>
          <w:rFonts w:ascii="仿宋" w:hAnsi="仿宋" w:eastAsia="仿宋"/>
        </w:rPr>
      </w:pPr>
      <w:r>
        <w:rPr>
          <w:rFonts w:hint="eastAsia" w:ascii="仿宋" w:hAnsi="仿宋" w:eastAsia="仿宋"/>
        </w:rPr>
        <w:t>6月17日至7月16日，《上海市青浦区华新镇QPS6-0201单元（凤溪社区）控制性详细规划示范区线徐乐北路站（暂命名）周边北青公路以北区域局部调整》（草案）公示，示范区线徐乐北路站</w:t>
      </w:r>
      <w:r>
        <w:rPr>
          <w:rFonts w:hint="eastAsia" w:ascii="仿宋" w:hAnsi="仿宋" w:eastAsia="仿宋"/>
          <w:kern w:val="2"/>
        </w:rPr>
        <w:t>周边</w:t>
      </w:r>
      <w:r>
        <w:rPr>
          <w:rFonts w:hint="eastAsia" w:ascii="仿宋" w:hAnsi="仿宋" w:eastAsia="仿宋"/>
        </w:rPr>
        <w:t>地块TOD开发规划调整方案出炉。示范区线徐乐北路站(暂命名)位于北青公路与徐乐北路交叉路口西侧，本次公示的规划调整范围位于站点周边北青公路以北区域，板块上隶属于华新镇凤溪社区单元。徐乐北路站为高架三层站，总建筑面积17640平方米。本次规划调整范围均涉及凤溪社区“城中村”改造，也是示范区线徐乐北路站站城片区的重要组成部分。调整后总建设用地约65公顷，总建筑面积约74万平方米，其中住宅建筑面积约51万平方米、商业建筑面积约5万平方米、教育科研建筑面积约7万平方米、社区服务和基础教育设施建筑面积约11万平方米。</w:t>
      </w:r>
    </w:p>
    <w:p w14:paraId="0DFE2F46">
      <w:pPr>
        <w:pStyle w:val="2"/>
        <w:numPr>
          <w:ilvl w:val="0"/>
          <w:numId w:val="3"/>
        </w:numPr>
        <w:rPr>
          <w:rFonts w:ascii="仿宋" w:hAnsi="仿宋" w:cs="Arial"/>
          <w:b w:val="0"/>
          <w:bCs w:val="0"/>
          <w:color w:val="222222"/>
          <w:kern w:val="0"/>
          <w:shd w:val="clear" w:color="auto" w:fill="FFFFFF"/>
          <w:lang w:bidi="ar"/>
        </w:rPr>
      </w:pPr>
      <w:bookmarkStart w:id="31" w:name="_Toc170978918"/>
      <w:r>
        <w:rPr>
          <w:rFonts w:hint="eastAsia" w:ascii="仿宋" w:hAnsi="仿宋" w:cs="Arial"/>
          <w:color w:val="222222"/>
          <w:kern w:val="0"/>
          <w:shd w:val="clear" w:color="auto" w:fill="FFFFFF"/>
          <w:lang w:bidi="ar"/>
        </w:rPr>
        <w:t>天津利用边角地块</w:t>
      </w:r>
      <w:r>
        <w:rPr>
          <w:rFonts w:hint="eastAsia"/>
        </w:rPr>
        <w:t>开发</w:t>
      </w:r>
      <w:r>
        <w:rPr>
          <w:rFonts w:hint="eastAsia" w:ascii="仿宋" w:hAnsi="仿宋" w:cs="Arial"/>
          <w:color w:val="222222"/>
          <w:kern w:val="0"/>
          <w:shd w:val="clear" w:color="auto" w:fill="FFFFFF"/>
          <w:lang w:bidi="ar"/>
        </w:rPr>
        <w:t>“地铁+生活服务设施”以盘活土地存量</w:t>
      </w:r>
      <w:bookmarkEnd w:id="31"/>
    </w:p>
    <w:p w14:paraId="6B683FEF">
      <w:pPr>
        <w:pStyle w:val="14"/>
        <w:spacing w:before="0" w:beforeAutospacing="0" w:after="0" w:afterAutospacing="0" w:line="360" w:lineRule="auto"/>
        <w:ind w:firstLine="480"/>
        <w:jc w:val="both"/>
        <w:rPr>
          <w:rFonts w:ascii="仿宋" w:hAnsi="仿宋" w:eastAsia="仿宋"/>
          <w:kern w:val="2"/>
        </w:rPr>
      </w:pPr>
      <w:r>
        <w:rPr>
          <w:rFonts w:hint="eastAsia" w:ascii="仿宋" w:hAnsi="仿宋" w:eastAsia="仿宋"/>
          <w:kern w:val="2"/>
        </w:rPr>
        <w:t>6月16日天津海河传媒中心消息，在推进“三量”“三新”工作过程中，天津轨道交通集团积极推进“地铁+经济”模式。因地制宜盘活地铁沿线的边角地块存量，为市民提供多样生活场景和服务业态，促进城市品质提升。例如在天津地铁5号线幸福公园站的出入口周边，幸福里市集、商业街和幸福e站商业街已经开门营业，这是天津市结合社会需求尝试将地铁沿线边角地块开发为社区商业驿站等服务设施。在地铁11号线佟楼站一侧，佟楼TOD保租房项目在近期完成了东侧楼的主体封顶，楼内工程正在加紧建设，这是天津市盘活地铁拆迁边角地块用于保障性住房开发的首次尝试。截至目前，天津市盘活利用地铁沿线和场站资源，先后投用560个便民服务点、11个停车场、42个地铁e站，助力打造地铁周边“一刻钟便民生活圈”。</w:t>
      </w:r>
    </w:p>
    <w:p w14:paraId="4E09A395">
      <w:pPr>
        <w:pStyle w:val="2"/>
        <w:numPr>
          <w:ilvl w:val="0"/>
          <w:numId w:val="3"/>
        </w:numPr>
        <w:rPr>
          <w:rFonts w:ascii="仿宋" w:hAnsi="仿宋"/>
          <w:b w:val="0"/>
          <w:bCs w:val="0"/>
          <w:kern w:val="2"/>
        </w:rPr>
      </w:pPr>
      <w:bookmarkStart w:id="32" w:name="_Toc170978919"/>
      <w:r>
        <w:rPr>
          <w:rFonts w:ascii="仿宋" w:hAnsi="仿宋"/>
          <w:kern w:val="2"/>
        </w:rPr>
        <w:t>东莞地铁二期建设</w:t>
      </w:r>
      <w:r>
        <w:t>规划</w:t>
      </w:r>
      <w:r>
        <w:rPr>
          <w:rFonts w:ascii="仿宋" w:hAnsi="仿宋"/>
          <w:kern w:val="2"/>
        </w:rPr>
        <w:t>调整</w:t>
      </w:r>
      <w:r>
        <w:rPr>
          <w:rFonts w:hint="eastAsia" w:ascii="仿宋" w:hAnsi="仿宋"/>
          <w:kern w:val="2"/>
        </w:rPr>
        <w:t>，</w:t>
      </w:r>
      <w:r>
        <w:rPr>
          <w:rFonts w:ascii="仿宋" w:hAnsi="仿宋"/>
          <w:kern w:val="2"/>
        </w:rPr>
        <w:t>将建6条延伸线对接广深两地</w:t>
      </w:r>
      <w:bookmarkEnd w:id="32"/>
    </w:p>
    <w:p w14:paraId="62D55741">
      <w:pPr>
        <w:pStyle w:val="14"/>
        <w:spacing w:before="0" w:beforeAutospacing="0" w:after="0" w:afterAutospacing="0" w:line="360" w:lineRule="auto"/>
        <w:ind w:firstLine="480"/>
        <w:jc w:val="both"/>
        <w:rPr>
          <w:rFonts w:ascii="仿宋" w:hAnsi="仿宋" w:eastAsia="仿宋"/>
          <w:kern w:val="2"/>
        </w:rPr>
      </w:pPr>
      <w:r>
        <w:rPr>
          <w:rFonts w:ascii="仿宋" w:hAnsi="仿宋" w:eastAsia="仿宋"/>
          <w:kern w:val="2"/>
        </w:rPr>
        <w:t>6月18日，东莞市轨道交通局官网发布《东莞市城市轨道交通第二期建设规划调整（2022-2030年）及东莞市轨道交通网络规划（2035）环境影响评价首次信息公开》及《东莞市城市轨道交通第二期建设规划调整（2022-2030年）社会稳定风险分析公示》两则公告，就轨道交通建设规划调整进行信息公告，并征求公众的意见和建议。东莞市城市轨道交通第二期建设规划调整（2022-2030年）包括6条延伸线，总长27.1公里。其中，东莞境内长26.2公里，广州境内长0.9公里。而新公示的东莞市轨道交通网络规划（2035）则包括14条轨道交通线路，长476公里。其中，轨道快线4条，长224公里；轨道普线9条，长245公里；深圳延伸线路1条，长7公里。东莞地铁二期建设规划调整后，连通广州和深圳的多条线路被纳入其中。</w:t>
      </w:r>
    </w:p>
    <w:p w14:paraId="2D81476F">
      <w:pPr>
        <w:pStyle w:val="2"/>
        <w:numPr>
          <w:ilvl w:val="0"/>
          <w:numId w:val="3"/>
        </w:numPr>
        <w:rPr>
          <w:rFonts w:ascii="仿宋" w:hAnsi="仿宋" w:cs="Arial"/>
          <w:color w:val="222222"/>
          <w:kern w:val="0"/>
          <w:szCs w:val="24"/>
          <w:shd w:val="clear" w:color="auto" w:fill="FFFFFF"/>
          <w:lang w:bidi="ar"/>
        </w:rPr>
      </w:pPr>
      <w:bookmarkStart w:id="33" w:name="_Toc170978920"/>
      <w:r>
        <w:rPr>
          <w:rFonts w:hint="eastAsia" w:ascii="仿宋" w:hAnsi="仿宋" w:cs="Arial"/>
          <w:color w:val="222222"/>
          <w:szCs w:val="24"/>
          <w:shd w:val="clear" w:color="auto" w:fill="FFFFFF"/>
          <w:lang w:bidi="ar"/>
        </w:rPr>
        <w:t>绍兴市</w:t>
      </w:r>
      <w:r>
        <w:rPr>
          <w:rFonts w:hint="eastAsia" w:ascii="仿宋" w:hAnsi="仿宋" w:cs="Arial"/>
          <w:color w:val="222222"/>
          <w:kern w:val="0"/>
          <w:szCs w:val="24"/>
          <w:shd w:val="clear" w:color="auto" w:fill="FFFFFF"/>
          <w:lang w:bidi="ar"/>
        </w:rPr>
        <w:t>越东科创TOD片区建设拉开序幕</w:t>
      </w:r>
      <w:bookmarkEnd w:id="33"/>
    </w:p>
    <w:p w14:paraId="539E399A">
      <w:pPr>
        <w:pStyle w:val="14"/>
        <w:spacing w:before="0" w:beforeAutospacing="0" w:after="0" w:afterAutospacing="0" w:line="360" w:lineRule="auto"/>
        <w:ind w:firstLine="480"/>
        <w:jc w:val="both"/>
        <w:rPr>
          <w:rFonts w:ascii="仿宋" w:hAnsi="仿宋" w:eastAsia="仿宋"/>
          <w:kern w:val="2"/>
        </w:rPr>
      </w:pPr>
      <w:r>
        <w:rPr>
          <w:rFonts w:hint="eastAsia" w:ascii="仿宋" w:hAnsi="仿宋" w:eastAsia="仿宋"/>
          <w:kern w:val="2"/>
        </w:rPr>
        <w:t>6月19日消息，</w:t>
      </w:r>
      <w:r>
        <w:rPr>
          <w:rFonts w:ascii="仿宋" w:hAnsi="仿宋" w:eastAsia="仿宋"/>
          <w:kern w:val="2"/>
        </w:rPr>
        <w:t>日前，</w:t>
      </w:r>
      <w:r>
        <w:rPr>
          <w:rFonts w:hint="eastAsia" w:ascii="仿宋" w:hAnsi="仿宋" w:eastAsia="仿宋"/>
          <w:kern w:val="2"/>
        </w:rPr>
        <w:t>绍兴市越城区</w:t>
      </w:r>
      <w:r>
        <w:rPr>
          <w:rFonts w:ascii="仿宋" w:hAnsi="仿宋" w:eastAsia="仿宋"/>
          <w:kern w:val="2"/>
        </w:rPr>
        <w:t>自然资源和规划分局积极推进越东科创TOD概念性城市设计、周边控制性详细规划修改方案及交通影响评价工作，拉开了轨道4号线沿线站点建设序幕。</w:t>
      </w:r>
      <w:r>
        <w:rPr>
          <w:rFonts w:hint="eastAsia" w:ascii="仿宋" w:hAnsi="仿宋" w:eastAsia="仿宋"/>
          <w:kern w:val="2"/>
        </w:rPr>
        <w:t>轨道4号线一期线路全长20.53公里，本次规划范围内涉及轨道4号线2座站点。其中平江路站位于人民东路与平江路交叉口染料城地块内，计划设置3个出入口；人民东路站位于人民东路与阳明北路交叉口，拟作为轨道4号线、5号线换乘点，计划设置5个出入口。两站都将在站点周边区域配套建设地铁上盖建筑。本次控制性详细规划修改范围东至市高级中学、鹿池路，南至鲁迅东路，西至平江路、富中路，北至剡溪路、卧龙路。片区以打造城市有机更新未来品牌、越东高能级科创新平台、鉴水科技城协同合作区为发展使命，以公共交通为导向引导城市开发，依托“城市双修”更新理念，修复沿路、沿河绿化景观，修补片区配套设施短板。</w:t>
      </w:r>
    </w:p>
    <w:p w14:paraId="78149F56">
      <w:pPr>
        <w:pStyle w:val="2"/>
        <w:numPr>
          <w:ilvl w:val="0"/>
          <w:numId w:val="3"/>
        </w:numPr>
        <w:rPr>
          <w:rFonts w:ascii="仿宋" w:hAnsi="仿宋" w:cs="Arial"/>
          <w:b w:val="0"/>
          <w:bCs w:val="0"/>
          <w:color w:val="222222"/>
          <w:shd w:val="clear" w:color="auto" w:fill="FFFFFF"/>
          <w:lang w:bidi="ar"/>
        </w:rPr>
      </w:pPr>
      <w:bookmarkStart w:id="34" w:name="_Toc170978921"/>
      <w:r>
        <w:rPr>
          <w:rFonts w:hint="eastAsia" w:ascii="仿宋" w:hAnsi="仿宋" w:cs="Arial"/>
          <w:color w:val="222222"/>
          <w:shd w:val="clear" w:color="auto" w:fill="FFFFFF"/>
          <w:lang w:bidi="ar"/>
        </w:rPr>
        <w:t>郑州航空港区都市级</w:t>
      </w:r>
      <w:r>
        <w:rPr>
          <w:rFonts w:hint="eastAsia"/>
        </w:rPr>
        <w:t>商业中心</w:t>
      </w:r>
      <w:r>
        <w:rPr>
          <w:rFonts w:hint="eastAsia" w:ascii="仿宋" w:hAnsi="仿宋" w:cs="Arial"/>
          <w:color w:val="222222"/>
          <w:shd w:val="clear" w:color="auto" w:fill="FFFFFF"/>
          <w:lang w:bidi="ar"/>
        </w:rPr>
        <w:t>布局亮相</w:t>
      </w:r>
      <w:bookmarkEnd w:id="34"/>
    </w:p>
    <w:p w14:paraId="4A3190A4">
      <w:pPr>
        <w:pStyle w:val="14"/>
        <w:spacing w:before="0" w:beforeAutospacing="0" w:after="0" w:afterAutospacing="0" w:line="360" w:lineRule="auto"/>
        <w:ind w:firstLine="480"/>
        <w:jc w:val="both"/>
        <w:rPr>
          <w:rFonts w:ascii="仿宋" w:hAnsi="仿宋" w:eastAsia="仿宋"/>
          <w:kern w:val="2"/>
        </w:rPr>
      </w:pPr>
      <w:r>
        <w:rPr>
          <w:rFonts w:hint="eastAsia" w:ascii="仿宋" w:hAnsi="仿宋" w:eastAsia="仿宋"/>
          <w:kern w:val="2"/>
        </w:rPr>
        <w:t>近日，郑州航空港区投资促进局组织编制完成了《郑州航空港经济综合实验区商业网点专项规划（2023—2035）》并进行了批前公示。</w:t>
      </w:r>
      <w:r>
        <w:rPr>
          <w:rFonts w:ascii="仿宋" w:hAnsi="仿宋" w:eastAsia="仿宋"/>
          <w:kern w:val="2"/>
        </w:rPr>
        <w:t>规划提出，郑州航空港区将规划建设1个都市商业中心、2个市级商业中心、5个片区级商业中心和20个社区级商业中心。专项规划范围涵盖郑州航空港区全部行政辖区范围，面积747平方公里，共计2个镇、2个乡、13个办事处。</w:t>
      </w:r>
      <w:r>
        <w:rPr>
          <w:rFonts w:hint="eastAsia" w:ascii="仿宋" w:hAnsi="仿宋" w:eastAsia="仿宋"/>
          <w:kern w:val="2"/>
        </w:rPr>
        <w:t>根据规划，郑州航空港区将构建“五级多元”商业规划体系，形成“都市级—市级—片区级—社区级—居住区级”五级商业消费空间结构，满足不同维度消费者多层次消费需求，在全区整体构建“1+2+5+20+N”的商圈体系。</w:t>
      </w:r>
    </w:p>
    <w:p w14:paraId="03E76DDE">
      <w:pPr>
        <w:pStyle w:val="2"/>
        <w:numPr>
          <w:ilvl w:val="0"/>
          <w:numId w:val="3"/>
        </w:numPr>
        <w:rPr>
          <w:rFonts w:ascii="仿宋" w:hAnsi="仿宋"/>
          <w:b w:val="0"/>
          <w:bCs w:val="0"/>
          <w:kern w:val="2"/>
        </w:rPr>
      </w:pPr>
      <w:bookmarkStart w:id="35" w:name="_Toc170978922"/>
      <w:r>
        <w:rPr>
          <w:rFonts w:hint="eastAsia" w:ascii="仿宋" w:hAnsi="仿宋" w:cs="Arial"/>
          <w:color w:val="222222"/>
          <w:kern w:val="0"/>
          <w:szCs w:val="24"/>
          <w:shd w:val="clear" w:color="auto" w:fill="FFFFFF"/>
          <w:lang w:bidi="ar"/>
        </w:rPr>
        <w:t>南</w:t>
      </w:r>
      <w:r>
        <w:rPr>
          <w:rFonts w:hint="eastAsia" w:ascii="仿宋" w:hAnsi="仿宋"/>
          <w:kern w:val="2"/>
        </w:rPr>
        <w:t>昌地铁1号线昌北停车场及配套综合楼规划公示</w:t>
      </w:r>
      <w:bookmarkEnd w:id="35"/>
    </w:p>
    <w:p w14:paraId="606E96E4">
      <w:pPr>
        <w:pStyle w:val="14"/>
        <w:spacing w:before="0" w:beforeAutospacing="0" w:after="0" w:afterAutospacing="0" w:line="360" w:lineRule="auto"/>
        <w:ind w:firstLine="480"/>
        <w:jc w:val="both"/>
        <w:rPr>
          <w:rFonts w:ascii="仿宋" w:hAnsi="仿宋" w:eastAsia="仿宋"/>
          <w:kern w:val="2"/>
        </w:rPr>
      </w:pPr>
      <w:r>
        <w:rPr>
          <w:rFonts w:ascii="仿宋" w:hAnsi="仿宋" w:eastAsia="仿宋"/>
          <w:kern w:val="2"/>
        </w:rPr>
        <w:t>近日，南昌市自然资源和规划局就南昌轨道交通1号线北延工程昌北停车场及配套综合楼项目建设工程规划许可证进行批前公示，项目位于经开区昌九城际铁路以东、电厂专线以南，建设单位为南昌轨道交通集团有限公司。项目规划用地面积133451平方米，总建筑面积38619.92平方米，包含综合楼、运用库、牵混所、厂房等。地下总建筑面积5827.80平方米(不计容)，容积率0.25，机动车停车位150个，非机动车停车位120个，电动汽车充电桩12个。南昌轨道交通1号线北延工程是南昌昌北国际机场接入南昌地铁的大动脉，项目建成通车后，将极大改善市民的出行效率，缓解城市交通压力，为南昌打造“一枢纽四中心”目标提供有效支撑。</w:t>
      </w:r>
    </w:p>
    <w:p w14:paraId="0C984290">
      <w:pPr>
        <w:widowControl/>
        <w:shd w:val="clear" w:color="auto" w:fill="FFFFFF"/>
        <w:ind w:firstLine="480"/>
        <w:jc w:val="left"/>
        <w:rPr>
          <w:rFonts w:ascii="仿宋" w:hAnsi="仿宋" w:cs="宋体"/>
          <w:szCs w:val="24"/>
        </w:rPr>
      </w:pPr>
    </w:p>
    <w:p w14:paraId="518D3202">
      <w:pPr>
        <w:widowControl/>
        <w:shd w:val="clear" w:color="auto" w:fill="FFFFFF"/>
        <w:ind w:firstLine="480"/>
        <w:jc w:val="left"/>
        <w:rPr>
          <w:rFonts w:ascii="仿宋" w:hAnsi="仿宋" w:cs="宋体"/>
          <w:szCs w:val="24"/>
        </w:rPr>
      </w:pPr>
    </w:p>
    <w:p w14:paraId="2DF69C93">
      <w:pPr>
        <w:pStyle w:val="14"/>
        <w:shd w:val="clear" w:color="auto" w:fill="FFFFFF"/>
        <w:spacing w:before="0" w:beforeAutospacing="0" w:after="288" w:afterAutospacing="0"/>
        <w:ind w:firstLine="414"/>
        <w:jc w:val="center"/>
        <w:rPr>
          <w:rFonts w:ascii="Microsoft YaHei UI" w:hAnsi="Microsoft YaHei UI" w:eastAsia="Microsoft YaHei UI" w:cs="Microsoft YaHei UI"/>
          <w:spacing w:val="7"/>
          <w:sz w:val="20"/>
          <w:szCs w:val="20"/>
          <w:shd w:val="clear" w:color="auto" w:fill="FFFFFF"/>
        </w:rPr>
      </w:pPr>
    </w:p>
    <w:p w14:paraId="39C84B5B">
      <w:pPr>
        <w:pStyle w:val="2"/>
        <w:keepLines/>
        <w:widowControl w:val="0"/>
        <w:spacing w:before="163" w:after="163"/>
        <w:ind w:firstLine="562"/>
        <w:jc w:val="center"/>
        <w:rPr>
          <w:rFonts w:ascii="黑体" w:hAnsi="黑体" w:eastAsia="黑体" w:cs="Times New Roman"/>
          <w:color w:val="5B9BD5" w:themeColor="accent5"/>
          <w:kern w:val="44"/>
          <w:sz w:val="28"/>
          <w14:textFill>
            <w14:solidFill>
              <w14:schemeClr w14:val="accent5"/>
            </w14:solidFill>
          </w14:textFill>
        </w:rPr>
        <w:sectPr>
          <w:pgSz w:w="11906" w:h="16838"/>
          <w:pgMar w:top="1440" w:right="1800" w:bottom="1440" w:left="1800" w:header="1474" w:footer="964" w:gutter="0"/>
          <w:cols w:space="425" w:num="1"/>
          <w:docGrid w:type="lines" w:linePitch="326" w:charSpace="0"/>
        </w:sectPr>
      </w:pPr>
    </w:p>
    <w:p w14:paraId="3D153877">
      <w:pPr>
        <w:pStyle w:val="2"/>
        <w:keepLines/>
        <w:widowControl w:val="0"/>
        <w:spacing w:before="163" w:after="163"/>
        <w:ind w:firstLine="562"/>
        <w:jc w:val="center"/>
        <w:rPr>
          <w:rFonts w:ascii="黑体" w:hAnsi="黑体" w:eastAsia="黑体" w:cs="Times New Roman"/>
          <w:color w:val="5B9BD5" w:themeColor="accent5"/>
          <w:kern w:val="44"/>
          <w:sz w:val="28"/>
          <w14:textFill>
            <w14:solidFill>
              <w14:schemeClr w14:val="accent5"/>
            </w14:solidFill>
          </w14:textFill>
        </w:rPr>
      </w:pPr>
      <w:bookmarkStart w:id="36" w:name="_Toc170978923"/>
      <w:r>
        <w:rPr>
          <w:rFonts w:hint="eastAsia" w:ascii="黑体" w:hAnsi="黑体" w:eastAsia="黑体" w:cs="Times New Roman"/>
          <w:color w:val="5B9BD5" w:themeColor="accent5"/>
          <w:kern w:val="44"/>
          <w:sz w:val="28"/>
          <w14:textFill>
            <w14:solidFill>
              <w14:schemeClr w14:val="accent5"/>
            </w14:solidFill>
          </w14:textFill>
        </w:rPr>
        <w:t>三</w:t>
      </w:r>
      <w:r>
        <w:rPr>
          <w:rFonts w:ascii="黑体" w:hAnsi="黑体" w:eastAsia="黑体" w:cs="Times New Roman"/>
          <w:color w:val="5B9BD5" w:themeColor="accent5"/>
          <w:kern w:val="44"/>
          <w:sz w:val="28"/>
          <w14:textFill>
            <w14:solidFill>
              <w14:schemeClr w14:val="accent5"/>
            </w14:solidFill>
          </w14:textFill>
        </w:rPr>
        <w:t>、企业动态</w:t>
      </w:r>
      <w:bookmarkEnd w:id="36"/>
    </w:p>
    <w:p w14:paraId="6D8E02BE">
      <w:pPr>
        <w:pStyle w:val="2"/>
        <w:numPr>
          <w:ilvl w:val="0"/>
          <w:numId w:val="4"/>
        </w:numPr>
        <w:ind w:left="442" w:hanging="442"/>
        <w:rPr>
          <w:shd w:val="clear" w:color="auto" w:fill="FFFFFF"/>
        </w:rPr>
      </w:pPr>
      <w:bookmarkStart w:id="37" w:name="_Toc170978924"/>
      <w:bookmarkStart w:id="38" w:name="_Hlk157771138"/>
      <w:r>
        <w:rPr>
          <w:rFonts w:hint="eastAsia" w:ascii="仿宋" w:hAnsi="仿宋"/>
          <w:shd w:val="clear" w:color="auto" w:fill="FFFFFF"/>
          <w:lang w:bidi="ar"/>
        </w:rPr>
        <w:t>苏州轨道、重庆轨道、宁波轨道和昆明地铁公司等获得TOD地块</w:t>
      </w:r>
      <w:bookmarkEnd w:id="37"/>
    </w:p>
    <w:bookmarkEnd w:id="38"/>
    <w:p w14:paraId="6D9E8ADB">
      <w:pPr>
        <w:pStyle w:val="14"/>
        <w:spacing w:before="0" w:beforeAutospacing="0" w:after="0" w:afterAutospacing="0" w:line="360" w:lineRule="auto"/>
        <w:ind w:firstLine="480"/>
        <w:jc w:val="both"/>
        <w:rPr>
          <w:rFonts w:ascii="仿宋" w:hAnsi="仿宋" w:eastAsia="仿宋"/>
          <w:kern w:val="2"/>
        </w:rPr>
      </w:pPr>
      <w:r>
        <w:rPr>
          <w:rFonts w:hint="eastAsia" w:ascii="仿宋" w:hAnsi="仿宋" w:eastAsia="仿宋"/>
          <w:kern w:val="2"/>
        </w:rPr>
        <w:t>6月份，苏州、重庆、宁波、昆明等四城成交5幅TOD地块，总用地面积18.6万平方米，总建筑面积约38.8万平方米，成交总价为44.2亿元，其中苏州、宁波纯住宅地块均由地铁公司与开发商联合竞得，说明TOD土地市场信心有所提升。具体如下：</w:t>
      </w:r>
    </w:p>
    <w:p w14:paraId="725643BC">
      <w:pPr>
        <w:pStyle w:val="14"/>
        <w:spacing w:before="0" w:beforeAutospacing="0" w:after="0" w:afterAutospacing="0" w:line="360" w:lineRule="auto"/>
        <w:ind w:firstLine="480"/>
        <w:jc w:val="both"/>
        <w:rPr>
          <w:rFonts w:ascii="仿宋" w:hAnsi="仿宋" w:eastAsia="仿宋"/>
          <w:kern w:val="2"/>
        </w:rPr>
      </w:pPr>
      <w:r>
        <w:rPr>
          <w:rFonts w:hint="eastAsia" w:ascii="仿宋" w:hAnsi="仿宋" w:eastAsia="仿宋"/>
          <w:kern w:val="2"/>
        </w:rPr>
        <w:t>6月5日，</w:t>
      </w:r>
      <w:r>
        <w:rPr>
          <w:rFonts w:ascii="仿宋" w:hAnsi="仿宋" w:eastAsia="仿宋"/>
          <w:kern w:val="2"/>
        </w:rPr>
        <w:t>苏州湖铭置业有限公司</w:t>
      </w:r>
      <w:r>
        <w:rPr>
          <w:rFonts w:hint="eastAsia" w:ascii="仿宋" w:hAnsi="仿宋" w:eastAsia="仿宋"/>
          <w:kern w:val="2"/>
        </w:rPr>
        <w:t>（龙湖）</w:t>
      </w:r>
      <w:r>
        <w:rPr>
          <w:rFonts w:ascii="仿宋" w:hAnsi="仿宋" w:eastAsia="仿宋"/>
          <w:kern w:val="2"/>
        </w:rPr>
        <w:t>、江苏汇欣鑫房地产有限公司</w:t>
      </w:r>
      <w:r>
        <w:rPr>
          <w:rFonts w:hint="eastAsia" w:ascii="仿宋" w:hAnsi="仿宋" w:eastAsia="仿宋"/>
          <w:kern w:val="2"/>
        </w:rPr>
        <w:t>和</w:t>
      </w:r>
      <w:r>
        <w:rPr>
          <w:rFonts w:ascii="仿宋" w:hAnsi="仿宋" w:eastAsia="仿宋"/>
          <w:kern w:val="2"/>
        </w:rPr>
        <w:t>苏州轨道交通资产经营有限公司联合底价竞得</w:t>
      </w:r>
      <w:r>
        <w:rPr>
          <w:rFonts w:hint="eastAsia" w:ascii="仿宋" w:hAnsi="仿宋" w:eastAsia="仿宋"/>
          <w:kern w:val="2"/>
        </w:rPr>
        <w:t>苏地</w:t>
      </w:r>
      <w:r>
        <w:rPr>
          <w:rFonts w:ascii="仿宋" w:hAnsi="仿宋" w:eastAsia="仿宋"/>
          <w:kern w:val="2"/>
        </w:rPr>
        <w:t>2024-WG-Z07号地块，成交总价124426万元，成交楼面价15000元/平方米。</w:t>
      </w:r>
      <w:r>
        <w:rPr>
          <w:rFonts w:hint="eastAsia" w:ascii="仿宋" w:hAnsi="仿宋" w:eastAsia="仿宋"/>
          <w:kern w:val="2"/>
        </w:rPr>
        <w:t>该地块</w:t>
      </w:r>
      <w:r>
        <w:rPr>
          <w:rFonts w:ascii="仿宋" w:hAnsi="仿宋" w:eastAsia="仿宋"/>
          <w:kern w:val="2"/>
        </w:rPr>
        <w:t>位于相城区高铁新城相城大道东、陶村街北，土地面积51844平方米，容积率1-1.6</w:t>
      </w:r>
      <w:r>
        <w:rPr>
          <w:rFonts w:hint="eastAsia" w:ascii="仿宋" w:hAnsi="仿宋" w:eastAsia="仿宋"/>
          <w:kern w:val="2"/>
        </w:rPr>
        <w:t>。</w:t>
      </w:r>
    </w:p>
    <w:p w14:paraId="65C4B66B">
      <w:pPr>
        <w:pStyle w:val="14"/>
        <w:spacing w:before="0" w:beforeAutospacing="0" w:after="0" w:afterAutospacing="0" w:line="360" w:lineRule="auto"/>
        <w:ind w:firstLine="480"/>
        <w:jc w:val="both"/>
        <w:rPr>
          <w:rFonts w:ascii="仿宋" w:hAnsi="仿宋" w:eastAsia="仿宋"/>
          <w:kern w:val="2"/>
        </w:rPr>
      </w:pPr>
      <w:r>
        <w:rPr>
          <w:rFonts w:ascii="仿宋" w:hAnsi="仿宋" w:eastAsia="仿宋"/>
          <w:kern w:val="2"/>
        </w:rPr>
        <w:t>6月21日，重庆城市综合交通枢纽（集团）有限公司</w:t>
      </w:r>
      <w:r>
        <w:rPr>
          <w:rFonts w:hint="eastAsia" w:ascii="仿宋" w:hAnsi="仿宋" w:eastAsia="仿宋"/>
          <w:kern w:val="2"/>
        </w:rPr>
        <w:t>底价</w:t>
      </w:r>
      <w:r>
        <w:rPr>
          <w:rFonts w:ascii="仿宋" w:hAnsi="仿宋" w:eastAsia="仿宋"/>
          <w:kern w:val="2"/>
        </w:rPr>
        <w:t>竞得渝北区两路组团A分区A117-2/07地块，</w:t>
      </w:r>
      <w:r>
        <w:rPr>
          <w:rFonts w:hint="eastAsia" w:ascii="仿宋" w:hAnsi="仿宋" w:eastAsia="仿宋"/>
          <w:kern w:val="2"/>
        </w:rPr>
        <w:t>成交总价</w:t>
      </w:r>
      <w:r>
        <w:rPr>
          <w:rFonts w:ascii="仿宋" w:hAnsi="仿宋" w:eastAsia="仿宋"/>
          <w:kern w:val="2"/>
        </w:rPr>
        <w:t>21320万元，成交楼面价为4471元/平方米。该地块用途为二类居住用地及公共交通场站用地，土地面积约</w:t>
      </w:r>
      <w:r>
        <w:rPr>
          <w:rFonts w:hint="eastAsia" w:ascii="仿宋" w:hAnsi="仿宋" w:eastAsia="仿宋"/>
          <w:kern w:val="2"/>
        </w:rPr>
        <w:t>23843平方米</w:t>
      </w:r>
      <w:r>
        <w:rPr>
          <w:rFonts w:ascii="仿宋" w:hAnsi="仿宋" w:eastAsia="仿宋"/>
          <w:kern w:val="2"/>
        </w:rPr>
        <w:t>，</w:t>
      </w:r>
      <w:r>
        <w:rPr>
          <w:rFonts w:hint="eastAsia" w:ascii="仿宋" w:hAnsi="仿宋" w:eastAsia="仿宋"/>
          <w:kern w:val="2"/>
        </w:rPr>
        <w:t>容积率为2.0，</w:t>
      </w:r>
      <w:r>
        <w:rPr>
          <w:rFonts w:ascii="仿宋" w:hAnsi="仿宋" w:eastAsia="仿宋"/>
          <w:kern w:val="2"/>
        </w:rPr>
        <w:t>可开发体量约4</w:t>
      </w:r>
      <w:r>
        <w:rPr>
          <w:rFonts w:hint="eastAsia" w:ascii="仿宋" w:hAnsi="仿宋" w:eastAsia="仿宋"/>
          <w:kern w:val="2"/>
        </w:rPr>
        <w:t>7686</w:t>
      </w:r>
      <w:r>
        <w:rPr>
          <w:rFonts w:ascii="仿宋" w:hAnsi="仿宋" w:eastAsia="仿宋"/>
          <w:kern w:val="2"/>
        </w:rPr>
        <w:t>平方米</w:t>
      </w:r>
      <w:r>
        <w:rPr>
          <w:rFonts w:hint="eastAsia" w:ascii="仿宋" w:hAnsi="仿宋" w:eastAsia="仿宋"/>
          <w:kern w:val="2"/>
        </w:rPr>
        <w:t>。</w:t>
      </w:r>
    </w:p>
    <w:p w14:paraId="49F8912A">
      <w:pPr>
        <w:pStyle w:val="14"/>
        <w:spacing w:before="0" w:beforeAutospacing="0" w:after="0" w:afterAutospacing="0" w:line="360" w:lineRule="auto"/>
        <w:ind w:firstLine="480"/>
        <w:jc w:val="both"/>
        <w:rPr>
          <w:rFonts w:ascii="仿宋" w:hAnsi="仿宋" w:eastAsia="仿宋"/>
          <w:kern w:val="2"/>
        </w:rPr>
      </w:pPr>
      <w:r>
        <w:rPr>
          <w:rFonts w:ascii="仿宋" w:hAnsi="仿宋" w:eastAsia="仿宋"/>
          <w:kern w:val="2"/>
        </w:rPr>
        <w:t>6月28日，宁波江山万里置业有限公司、</w:t>
      </w:r>
      <w:r>
        <w:rPr>
          <w:rFonts w:hint="eastAsia" w:ascii="仿宋" w:hAnsi="仿宋" w:eastAsia="仿宋"/>
          <w:kern w:val="2"/>
        </w:rPr>
        <w:t>宁波东韵置业有限公司和</w:t>
      </w:r>
      <w:r>
        <w:rPr>
          <w:rFonts w:ascii="仿宋" w:hAnsi="仿宋" w:eastAsia="仿宋"/>
          <w:kern w:val="2"/>
        </w:rPr>
        <w:t>宁波市轨道交通物产置业有限公司联合</w:t>
      </w:r>
      <w:r>
        <w:rPr>
          <w:rFonts w:hint="eastAsia" w:ascii="仿宋" w:hAnsi="仿宋" w:eastAsia="仿宋"/>
          <w:kern w:val="2"/>
        </w:rPr>
        <w:t>底价竞得</w:t>
      </w:r>
      <w:r>
        <w:rPr>
          <w:rFonts w:ascii="仿宋" w:hAnsi="仿宋" w:eastAsia="仿宋"/>
          <w:kern w:val="2"/>
        </w:rPr>
        <w:t>宁波市</w:t>
      </w:r>
      <w:r>
        <w:rPr>
          <w:rFonts w:hint="eastAsia" w:ascii="仿宋" w:hAnsi="仿宋" w:eastAsia="仿宋"/>
          <w:kern w:val="2"/>
        </w:rPr>
        <w:t>鄞州区</w:t>
      </w:r>
      <w:r>
        <w:rPr>
          <w:rFonts w:ascii="仿宋" w:hAnsi="仿宋" w:eastAsia="仿宋"/>
          <w:kern w:val="2"/>
        </w:rPr>
        <w:t>YZ06-01-h4-1地块</w:t>
      </w:r>
      <w:r>
        <w:rPr>
          <w:rFonts w:hint="eastAsia" w:ascii="仿宋" w:hAnsi="仿宋" w:eastAsia="仿宋"/>
          <w:kern w:val="2"/>
        </w:rPr>
        <w:t>，成交总价为</w:t>
      </w:r>
      <w:r>
        <w:rPr>
          <w:rFonts w:ascii="仿宋" w:hAnsi="仿宋" w:eastAsia="仿宋"/>
          <w:kern w:val="2"/>
        </w:rPr>
        <w:t>26.28亿元，</w:t>
      </w:r>
      <w:r>
        <w:rPr>
          <w:rFonts w:hint="eastAsia" w:ascii="仿宋" w:hAnsi="仿宋" w:eastAsia="仿宋"/>
          <w:kern w:val="2"/>
        </w:rPr>
        <w:t>成交</w:t>
      </w:r>
      <w:r>
        <w:rPr>
          <w:rFonts w:ascii="仿宋" w:hAnsi="仿宋" w:eastAsia="仿宋"/>
          <w:kern w:val="2"/>
        </w:rPr>
        <w:t>楼面价</w:t>
      </w:r>
      <w:r>
        <w:rPr>
          <w:rFonts w:hint="eastAsia" w:ascii="仿宋" w:hAnsi="仿宋" w:eastAsia="仿宋"/>
          <w:kern w:val="2"/>
        </w:rPr>
        <w:t>为</w:t>
      </w:r>
      <w:r>
        <w:rPr>
          <w:rFonts w:ascii="仿宋" w:hAnsi="仿宋" w:eastAsia="仿宋"/>
          <w:kern w:val="2"/>
        </w:rPr>
        <w:t>2.86万元/平方米。</w:t>
      </w:r>
      <w:r>
        <w:rPr>
          <w:rFonts w:hint="eastAsia" w:ascii="仿宋" w:hAnsi="仿宋" w:eastAsia="仿宋"/>
          <w:kern w:val="2"/>
        </w:rPr>
        <w:t>该</w:t>
      </w:r>
      <w:r>
        <w:rPr>
          <w:rFonts w:ascii="仿宋" w:hAnsi="仿宋" w:eastAsia="仿宋"/>
          <w:kern w:val="2"/>
        </w:rPr>
        <w:t>地块位于鄞州区核心位置，出让面积4.18万平方米，规划建筑面积9.19万平方米，紧邻地铁三号线钱湖北路站，周边商业和教育资源丰富。</w:t>
      </w:r>
    </w:p>
    <w:p w14:paraId="5F977625">
      <w:pPr>
        <w:pStyle w:val="14"/>
        <w:spacing w:before="0" w:beforeAutospacing="0" w:after="0" w:afterAutospacing="0" w:line="360" w:lineRule="auto"/>
        <w:ind w:firstLine="480"/>
        <w:jc w:val="both"/>
        <w:rPr>
          <w:rFonts w:ascii="仿宋" w:hAnsi="仿宋" w:eastAsia="仿宋"/>
          <w:kern w:val="2"/>
        </w:rPr>
      </w:pPr>
      <w:r>
        <w:rPr>
          <w:rFonts w:hint="eastAsia" w:ascii="仿宋" w:hAnsi="仿宋" w:eastAsia="仿宋"/>
          <w:kern w:val="2"/>
        </w:rPr>
        <w:t>6月28日，重庆市轨道交通（集团）有限公司以底价16415万元、楼面价7000元/平米竞得两江新区礼嘉组团A分区A41-5地块。该地块位于轨道金山寺站旁，是金山寺TOD地块，除了6号线（建成）和15号（在建）两条明确规划的轨道在此交汇之外，远期的21号线（规划）和28号线（规划）也计划经过此站，区位交通优势明显。该地块总面积约16.75亩，容积率2.1，可建体量约2.34万平方米，为二类居住用地、城市轨道交通用地。</w:t>
      </w:r>
    </w:p>
    <w:p w14:paraId="6E6B9327">
      <w:pPr>
        <w:pStyle w:val="14"/>
        <w:spacing w:before="0" w:beforeAutospacing="0" w:after="0" w:afterAutospacing="0" w:line="360" w:lineRule="auto"/>
        <w:ind w:firstLine="480"/>
        <w:jc w:val="both"/>
        <w:rPr>
          <w:rFonts w:ascii="仿宋" w:hAnsi="仿宋" w:eastAsia="仿宋"/>
          <w:kern w:val="2"/>
        </w:rPr>
      </w:pPr>
      <w:r>
        <w:rPr>
          <w:rFonts w:ascii="仿宋" w:hAnsi="仿宋" w:eastAsia="仿宋"/>
          <w:kern w:val="2"/>
        </w:rPr>
        <w:t>6月28日，昆明地铁城市开发有限公司以1.707亿元摘得西山区85亩宅地，为福海小村城改项目安置房用地，成交楼面价为1200元/㎡。</w:t>
      </w:r>
      <w:r>
        <w:rPr>
          <w:rFonts w:hint="eastAsia" w:ascii="仿宋" w:hAnsi="仿宋" w:eastAsia="仿宋"/>
          <w:kern w:val="2"/>
        </w:rPr>
        <w:t>该宗地编号为</w:t>
      </w:r>
      <w:r>
        <w:rPr>
          <w:rFonts w:ascii="仿宋" w:hAnsi="仿宋" w:eastAsia="仿宋"/>
          <w:kern w:val="2"/>
        </w:rPr>
        <w:t>KCXS2023-16号地块，将用于西山区草海片区范围内回迁安置，土地竞得人须严格按照回迁安置房相关要求实施项目建设和管理。</w:t>
      </w:r>
    </w:p>
    <w:p w14:paraId="63A39667">
      <w:pPr>
        <w:ind w:firstLine="482"/>
        <w:jc w:val="center"/>
        <w:rPr>
          <w:rFonts w:ascii="仿宋" w:hAnsi="仿宋"/>
          <w:b/>
          <w:bCs/>
        </w:rPr>
      </w:pPr>
      <w:r>
        <w:rPr>
          <w:rFonts w:hint="eastAsia" w:ascii="仿宋" w:hAnsi="仿宋"/>
          <w:b/>
          <w:bCs/>
        </w:rPr>
        <w:t>表：2</w:t>
      </w:r>
      <w:r>
        <w:rPr>
          <w:rFonts w:ascii="仿宋" w:hAnsi="仿宋"/>
          <w:b/>
          <w:bCs/>
        </w:rPr>
        <w:t>024</w:t>
      </w:r>
      <w:r>
        <w:rPr>
          <w:rFonts w:hint="eastAsia" w:ascii="仿宋" w:hAnsi="仿宋"/>
          <w:b/>
          <w:bCs/>
        </w:rPr>
        <w:t>年6月份典型城市T</w:t>
      </w:r>
      <w:r>
        <w:rPr>
          <w:rFonts w:ascii="仿宋" w:hAnsi="仿宋"/>
          <w:b/>
          <w:bCs/>
        </w:rPr>
        <w:t>OD</w:t>
      </w:r>
      <w:r>
        <w:rPr>
          <w:rFonts w:hint="eastAsia" w:ascii="仿宋" w:hAnsi="仿宋"/>
          <w:b/>
          <w:bCs/>
        </w:rPr>
        <w:t>地块成交信息</w:t>
      </w:r>
    </w:p>
    <w:p w14:paraId="64994DB8">
      <w:pPr>
        <w:ind w:firstLine="440"/>
        <w:jc w:val="right"/>
        <w:rPr>
          <w:rFonts w:ascii="仿宋" w:hAnsi="仿宋" w:cs="宋体"/>
          <w:kern w:val="0"/>
          <w:sz w:val="21"/>
          <w:szCs w:val="21"/>
        </w:rPr>
      </w:pPr>
      <w:r>
        <w:rPr>
          <w:rFonts w:hint="eastAsia" w:ascii="仿宋" w:hAnsi="仿宋"/>
          <w:sz w:val="22"/>
          <w:szCs w:val="21"/>
        </w:rPr>
        <w:t>单位：</w:t>
      </w:r>
      <w:r>
        <w:rPr>
          <w:rFonts w:hint="eastAsia" w:ascii="仿宋" w:hAnsi="仿宋" w:cs="宋体"/>
          <w:kern w:val="0"/>
          <w:sz w:val="21"/>
          <w:szCs w:val="21"/>
        </w:rPr>
        <w:t>㎡、万元</w:t>
      </w:r>
    </w:p>
    <w:tbl>
      <w:tblPr>
        <w:tblStyle w:val="40"/>
        <w:tblW w:w="8526" w:type="dxa"/>
        <w:tblInd w:w="-5" w:type="dxa"/>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Layout w:type="autofit"/>
        <w:tblCellMar>
          <w:top w:w="0" w:type="dxa"/>
          <w:left w:w="108" w:type="dxa"/>
          <w:bottom w:w="0" w:type="dxa"/>
          <w:right w:w="108" w:type="dxa"/>
        </w:tblCellMar>
      </w:tblPr>
      <w:tblGrid>
        <w:gridCol w:w="709"/>
        <w:gridCol w:w="1914"/>
        <w:gridCol w:w="921"/>
        <w:gridCol w:w="851"/>
        <w:gridCol w:w="850"/>
        <w:gridCol w:w="2410"/>
        <w:gridCol w:w="871"/>
      </w:tblGrid>
      <w:tr w14:paraId="322A3237">
        <w:tblPrEx>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CellMar>
            <w:top w:w="0" w:type="dxa"/>
            <w:left w:w="108" w:type="dxa"/>
            <w:bottom w:w="0" w:type="dxa"/>
            <w:right w:w="108" w:type="dxa"/>
          </w:tblCellMar>
        </w:tblPrEx>
        <w:trPr>
          <w:trHeight w:val="415" w:hRule="atLeast"/>
        </w:trPr>
        <w:tc>
          <w:tcPr>
            <w:tcW w:w="709" w:type="dxa"/>
            <w:tcBorders>
              <w:bottom w:val="single" w:color="9CC2E5" w:themeColor="accent5" w:themeTint="99" w:sz="12" w:space="0"/>
              <w:insideH w:val="single" w:sz="12" w:space="0"/>
            </w:tcBorders>
            <w:vAlign w:val="center"/>
          </w:tcPr>
          <w:p w14:paraId="6799F5A6">
            <w:pPr>
              <w:widowControl/>
              <w:spacing w:line="240" w:lineRule="auto"/>
              <w:ind w:firstLine="0" w:firstLineChars="0"/>
              <w:jc w:val="center"/>
              <w:rPr>
                <w:rFonts w:ascii="仿宋" w:hAnsi="仿宋" w:cs="宋体"/>
                <w:b w:val="0"/>
                <w:bCs w:val="0"/>
                <w:color w:val="000000"/>
                <w:kern w:val="0"/>
                <w:sz w:val="21"/>
                <w:szCs w:val="21"/>
              </w:rPr>
            </w:pPr>
            <w:r>
              <w:rPr>
                <w:rFonts w:hint="eastAsia" w:ascii="仿宋" w:hAnsi="仿宋" w:cs="宋体"/>
                <w:b w:val="0"/>
                <w:bCs w:val="0"/>
                <w:color w:val="000000"/>
                <w:kern w:val="0"/>
                <w:sz w:val="21"/>
                <w:szCs w:val="21"/>
              </w:rPr>
              <w:t>城市</w:t>
            </w:r>
          </w:p>
        </w:tc>
        <w:tc>
          <w:tcPr>
            <w:tcW w:w="1914" w:type="dxa"/>
            <w:tcBorders>
              <w:bottom w:val="single" w:color="9CC2E5" w:themeColor="accent5" w:themeTint="99" w:sz="12" w:space="0"/>
              <w:insideH w:val="single" w:sz="12" w:space="0"/>
            </w:tcBorders>
            <w:vAlign w:val="center"/>
          </w:tcPr>
          <w:p w14:paraId="1871D599">
            <w:pPr>
              <w:widowControl/>
              <w:spacing w:line="240" w:lineRule="auto"/>
              <w:ind w:firstLine="0" w:firstLineChars="0"/>
              <w:jc w:val="center"/>
              <w:rPr>
                <w:rFonts w:ascii="仿宋" w:hAnsi="仿宋" w:cs="宋体"/>
                <w:b w:val="0"/>
                <w:bCs w:val="0"/>
                <w:color w:val="000000"/>
                <w:kern w:val="0"/>
                <w:sz w:val="21"/>
                <w:szCs w:val="21"/>
              </w:rPr>
            </w:pPr>
            <w:r>
              <w:rPr>
                <w:rFonts w:hint="eastAsia" w:ascii="仿宋" w:hAnsi="仿宋" w:cs="宋体"/>
                <w:b w:val="0"/>
                <w:bCs w:val="0"/>
                <w:color w:val="000000"/>
                <w:kern w:val="0"/>
                <w:sz w:val="21"/>
                <w:szCs w:val="21"/>
              </w:rPr>
              <w:t>土地名称</w:t>
            </w:r>
          </w:p>
        </w:tc>
        <w:tc>
          <w:tcPr>
            <w:tcW w:w="921" w:type="dxa"/>
            <w:tcBorders>
              <w:bottom w:val="single" w:color="9CC2E5" w:themeColor="accent5" w:themeTint="99" w:sz="12" w:space="0"/>
              <w:insideH w:val="single" w:sz="12" w:space="0"/>
            </w:tcBorders>
            <w:vAlign w:val="center"/>
          </w:tcPr>
          <w:p w14:paraId="621BFE76">
            <w:pPr>
              <w:widowControl/>
              <w:spacing w:line="240" w:lineRule="auto"/>
              <w:ind w:firstLine="0" w:firstLineChars="0"/>
              <w:jc w:val="center"/>
              <w:rPr>
                <w:rFonts w:ascii="仿宋" w:hAnsi="仿宋" w:cs="宋体"/>
                <w:b w:val="0"/>
                <w:bCs w:val="0"/>
                <w:color w:val="000000"/>
                <w:kern w:val="0"/>
                <w:sz w:val="21"/>
                <w:szCs w:val="21"/>
              </w:rPr>
            </w:pPr>
            <w:r>
              <w:rPr>
                <w:rFonts w:hint="eastAsia" w:ascii="仿宋" w:hAnsi="仿宋" w:cs="宋体"/>
                <w:b w:val="0"/>
                <w:bCs w:val="0"/>
                <w:color w:val="000000"/>
                <w:kern w:val="0"/>
                <w:sz w:val="21"/>
                <w:szCs w:val="21"/>
              </w:rPr>
              <w:t>土地属性</w:t>
            </w:r>
          </w:p>
        </w:tc>
        <w:tc>
          <w:tcPr>
            <w:tcW w:w="851" w:type="dxa"/>
            <w:tcBorders>
              <w:bottom w:val="single" w:color="9CC2E5" w:themeColor="accent5" w:themeTint="99" w:sz="12" w:space="0"/>
              <w:insideH w:val="single" w:sz="12" w:space="0"/>
            </w:tcBorders>
            <w:vAlign w:val="center"/>
          </w:tcPr>
          <w:p w14:paraId="66FDD154">
            <w:pPr>
              <w:widowControl/>
              <w:spacing w:line="240" w:lineRule="auto"/>
              <w:ind w:firstLine="0" w:firstLineChars="0"/>
              <w:jc w:val="center"/>
              <w:rPr>
                <w:rFonts w:ascii="仿宋" w:hAnsi="仿宋" w:cs="宋体"/>
                <w:b w:val="0"/>
                <w:bCs w:val="0"/>
                <w:color w:val="000000"/>
                <w:kern w:val="0"/>
                <w:sz w:val="21"/>
                <w:szCs w:val="21"/>
              </w:rPr>
            </w:pPr>
            <w:r>
              <w:rPr>
                <w:rFonts w:hint="eastAsia" w:ascii="仿宋" w:hAnsi="仿宋" w:cs="宋体"/>
                <w:b w:val="0"/>
                <w:bCs w:val="0"/>
                <w:color w:val="000000"/>
                <w:kern w:val="0"/>
                <w:sz w:val="21"/>
                <w:szCs w:val="21"/>
              </w:rPr>
              <w:t>总建筑面积</w:t>
            </w:r>
          </w:p>
        </w:tc>
        <w:tc>
          <w:tcPr>
            <w:tcW w:w="850" w:type="dxa"/>
            <w:tcBorders>
              <w:bottom w:val="single" w:color="9CC2E5" w:themeColor="accent5" w:themeTint="99" w:sz="12" w:space="0"/>
              <w:insideH w:val="single" w:sz="12" w:space="0"/>
            </w:tcBorders>
            <w:vAlign w:val="center"/>
          </w:tcPr>
          <w:p w14:paraId="713DA43B">
            <w:pPr>
              <w:widowControl/>
              <w:spacing w:line="240" w:lineRule="auto"/>
              <w:ind w:firstLine="0" w:firstLineChars="0"/>
              <w:jc w:val="center"/>
              <w:rPr>
                <w:rFonts w:ascii="仿宋" w:hAnsi="仿宋" w:cs="宋体"/>
                <w:b w:val="0"/>
                <w:bCs w:val="0"/>
                <w:color w:val="000000"/>
                <w:kern w:val="0"/>
                <w:sz w:val="21"/>
                <w:szCs w:val="21"/>
              </w:rPr>
            </w:pPr>
            <w:r>
              <w:rPr>
                <w:rFonts w:hint="eastAsia" w:ascii="仿宋" w:hAnsi="仿宋" w:cs="宋体"/>
                <w:b w:val="0"/>
                <w:bCs w:val="0"/>
                <w:color w:val="000000"/>
                <w:kern w:val="0"/>
                <w:sz w:val="21"/>
                <w:szCs w:val="21"/>
              </w:rPr>
              <w:t>成交总价</w:t>
            </w:r>
          </w:p>
        </w:tc>
        <w:tc>
          <w:tcPr>
            <w:tcW w:w="2410" w:type="dxa"/>
            <w:tcBorders>
              <w:bottom w:val="single" w:color="9CC2E5" w:themeColor="accent5" w:themeTint="99" w:sz="12" w:space="0"/>
              <w:insideH w:val="single" w:sz="12" w:space="0"/>
            </w:tcBorders>
            <w:vAlign w:val="center"/>
          </w:tcPr>
          <w:p w14:paraId="66744D11">
            <w:pPr>
              <w:widowControl/>
              <w:spacing w:line="240" w:lineRule="auto"/>
              <w:ind w:firstLine="0" w:firstLineChars="0"/>
              <w:jc w:val="center"/>
              <w:rPr>
                <w:rFonts w:ascii="仿宋" w:hAnsi="仿宋" w:cs="宋体"/>
                <w:b w:val="0"/>
                <w:bCs w:val="0"/>
                <w:color w:val="000000"/>
                <w:kern w:val="0"/>
                <w:sz w:val="21"/>
                <w:szCs w:val="21"/>
              </w:rPr>
            </w:pPr>
            <w:r>
              <w:rPr>
                <w:rFonts w:hint="eastAsia" w:ascii="仿宋" w:hAnsi="仿宋" w:cs="宋体"/>
                <w:b w:val="0"/>
                <w:bCs w:val="0"/>
                <w:color w:val="000000"/>
                <w:kern w:val="0"/>
                <w:sz w:val="21"/>
                <w:szCs w:val="21"/>
              </w:rPr>
              <w:t>竞得企业</w:t>
            </w:r>
          </w:p>
        </w:tc>
        <w:tc>
          <w:tcPr>
            <w:tcW w:w="871" w:type="dxa"/>
            <w:tcBorders>
              <w:bottom w:val="single" w:color="9CC2E5" w:themeColor="accent5" w:themeTint="99" w:sz="12" w:space="0"/>
              <w:insideH w:val="single" w:sz="12" w:space="0"/>
            </w:tcBorders>
            <w:vAlign w:val="center"/>
          </w:tcPr>
          <w:p w14:paraId="7D514753">
            <w:pPr>
              <w:widowControl/>
              <w:spacing w:line="240" w:lineRule="auto"/>
              <w:ind w:firstLine="0" w:firstLineChars="0"/>
              <w:jc w:val="center"/>
              <w:rPr>
                <w:rFonts w:ascii="仿宋" w:hAnsi="仿宋" w:cs="Arial"/>
                <w:b w:val="0"/>
                <w:bCs w:val="0"/>
                <w:color w:val="000000"/>
                <w:kern w:val="0"/>
                <w:sz w:val="21"/>
                <w:szCs w:val="21"/>
              </w:rPr>
            </w:pPr>
            <w:r>
              <w:rPr>
                <w:rFonts w:hint="eastAsia" w:ascii="仿宋" w:hAnsi="仿宋" w:cs="Arial"/>
                <w:b w:val="0"/>
                <w:bCs w:val="0"/>
                <w:color w:val="000000"/>
                <w:kern w:val="0"/>
                <w:sz w:val="21"/>
                <w:szCs w:val="21"/>
              </w:rPr>
              <w:t>成交日期</w:t>
            </w:r>
          </w:p>
        </w:tc>
      </w:tr>
      <w:tr w14:paraId="0782EBE0">
        <w:tblPrEx>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CellMar>
            <w:top w:w="0" w:type="dxa"/>
            <w:left w:w="108" w:type="dxa"/>
            <w:bottom w:w="0" w:type="dxa"/>
            <w:right w:w="108" w:type="dxa"/>
          </w:tblCellMar>
        </w:tblPrEx>
        <w:trPr>
          <w:trHeight w:val="786" w:hRule="atLeast"/>
        </w:trPr>
        <w:tc>
          <w:tcPr>
            <w:tcW w:w="709" w:type="dxa"/>
            <w:shd w:val="clear" w:color="auto" w:fill="DEEAF6" w:themeFill="accent5" w:themeFillTint="33"/>
            <w:vAlign w:val="center"/>
          </w:tcPr>
          <w:p w14:paraId="17D53396">
            <w:pPr>
              <w:widowControl/>
              <w:spacing w:line="240" w:lineRule="auto"/>
              <w:ind w:firstLine="0" w:firstLineChars="0"/>
              <w:jc w:val="center"/>
              <w:rPr>
                <w:rFonts w:ascii="仿宋" w:hAnsi="仿宋" w:cs="宋体"/>
                <w:b w:val="0"/>
                <w:bCs w:val="0"/>
                <w:color w:val="000000"/>
                <w:kern w:val="0"/>
                <w:sz w:val="21"/>
                <w:szCs w:val="21"/>
              </w:rPr>
            </w:pPr>
            <w:r>
              <w:rPr>
                <w:rFonts w:hint="eastAsia" w:ascii="仿宋" w:hAnsi="仿宋" w:cs="宋体"/>
                <w:b w:val="0"/>
                <w:bCs w:val="0"/>
                <w:color w:val="000000"/>
                <w:kern w:val="0"/>
                <w:sz w:val="21"/>
                <w:szCs w:val="21"/>
              </w:rPr>
              <w:t>苏州</w:t>
            </w:r>
          </w:p>
        </w:tc>
        <w:tc>
          <w:tcPr>
            <w:tcW w:w="1914" w:type="dxa"/>
            <w:shd w:val="clear" w:color="auto" w:fill="DEEAF6" w:themeFill="accent5" w:themeFillTint="33"/>
            <w:vAlign w:val="center"/>
          </w:tcPr>
          <w:p w14:paraId="6928BF88">
            <w:pPr>
              <w:widowControl/>
              <w:spacing w:line="240" w:lineRule="auto"/>
              <w:ind w:firstLine="0" w:firstLineChars="0"/>
              <w:jc w:val="center"/>
              <w:rPr>
                <w:rFonts w:ascii="仿宋" w:hAnsi="仿宋" w:cs="宋体"/>
                <w:color w:val="2E75B6" w:themeColor="accent5" w:themeShade="BF"/>
                <w:kern w:val="0"/>
                <w:sz w:val="21"/>
                <w:szCs w:val="21"/>
              </w:rPr>
            </w:pPr>
            <w:r>
              <w:rPr>
                <w:rFonts w:hint="eastAsia" w:ascii="仿宋" w:hAnsi="仿宋" w:cs="宋体"/>
                <w:color w:val="2E75B6" w:themeColor="accent5" w:themeShade="BF"/>
                <w:kern w:val="0"/>
                <w:sz w:val="21"/>
                <w:szCs w:val="21"/>
              </w:rPr>
              <w:t>苏地</w:t>
            </w:r>
            <w:r>
              <w:rPr>
                <w:rFonts w:ascii="仿宋" w:hAnsi="仿宋" w:cs="Arial"/>
                <w:color w:val="2E75B6" w:themeColor="accent5" w:themeShade="BF"/>
                <w:kern w:val="0"/>
                <w:sz w:val="21"/>
                <w:szCs w:val="21"/>
              </w:rPr>
              <w:t>2024-WG-Z07</w:t>
            </w:r>
            <w:r>
              <w:rPr>
                <w:rFonts w:hint="eastAsia" w:ascii="仿宋" w:hAnsi="仿宋" w:cs="宋体"/>
                <w:color w:val="2E75B6" w:themeColor="accent5" w:themeShade="BF"/>
                <w:kern w:val="0"/>
                <w:sz w:val="21"/>
                <w:szCs w:val="21"/>
              </w:rPr>
              <w:t>号相城区高铁新城相城大道东、陶村街北</w:t>
            </w:r>
          </w:p>
        </w:tc>
        <w:tc>
          <w:tcPr>
            <w:tcW w:w="921" w:type="dxa"/>
            <w:shd w:val="clear" w:color="auto" w:fill="DEEAF6" w:themeFill="accent5" w:themeFillTint="33"/>
            <w:vAlign w:val="center"/>
          </w:tcPr>
          <w:p w14:paraId="5B48AD88">
            <w:pPr>
              <w:widowControl/>
              <w:spacing w:line="240" w:lineRule="auto"/>
              <w:ind w:firstLine="0" w:firstLineChars="0"/>
              <w:jc w:val="center"/>
              <w:rPr>
                <w:rFonts w:ascii="仿宋" w:hAnsi="仿宋" w:cs="宋体"/>
                <w:color w:val="000000"/>
                <w:kern w:val="0"/>
                <w:sz w:val="21"/>
                <w:szCs w:val="21"/>
              </w:rPr>
            </w:pPr>
            <w:r>
              <w:rPr>
                <w:rFonts w:hint="eastAsia" w:ascii="仿宋" w:hAnsi="仿宋" w:cs="宋体"/>
                <w:color w:val="000000"/>
                <w:kern w:val="0"/>
                <w:sz w:val="21"/>
                <w:szCs w:val="21"/>
              </w:rPr>
              <w:t>纯住宅</w:t>
            </w:r>
          </w:p>
        </w:tc>
        <w:tc>
          <w:tcPr>
            <w:tcW w:w="851" w:type="dxa"/>
            <w:shd w:val="clear" w:color="auto" w:fill="DEEAF6" w:themeFill="accent5" w:themeFillTint="33"/>
            <w:noWrap/>
            <w:vAlign w:val="center"/>
          </w:tcPr>
          <w:p w14:paraId="0E360E2E">
            <w:pPr>
              <w:widowControl/>
              <w:spacing w:line="240" w:lineRule="auto"/>
              <w:ind w:firstLine="0" w:firstLineChars="0"/>
              <w:jc w:val="center"/>
              <w:rPr>
                <w:rFonts w:ascii="仿宋" w:hAnsi="仿宋" w:cs="宋体"/>
                <w:color w:val="000000"/>
                <w:kern w:val="0"/>
                <w:sz w:val="21"/>
                <w:szCs w:val="21"/>
              </w:rPr>
            </w:pPr>
            <w:r>
              <w:rPr>
                <w:rFonts w:hint="eastAsia" w:ascii="仿宋" w:hAnsi="仿宋" w:cs="宋体"/>
                <w:color w:val="000000"/>
                <w:kern w:val="0"/>
                <w:sz w:val="21"/>
                <w:szCs w:val="21"/>
              </w:rPr>
              <w:t>82950</w:t>
            </w:r>
          </w:p>
        </w:tc>
        <w:tc>
          <w:tcPr>
            <w:tcW w:w="850" w:type="dxa"/>
            <w:shd w:val="clear" w:color="auto" w:fill="DEEAF6" w:themeFill="accent5" w:themeFillTint="33"/>
            <w:noWrap/>
            <w:vAlign w:val="center"/>
          </w:tcPr>
          <w:p w14:paraId="75D47867">
            <w:pPr>
              <w:widowControl/>
              <w:spacing w:line="240" w:lineRule="auto"/>
              <w:ind w:firstLine="0" w:firstLineChars="0"/>
              <w:jc w:val="center"/>
              <w:rPr>
                <w:rFonts w:ascii="仿宋" w:hAnsi="仿宋" w:cs="宋体"/>
                <w:color w:val="000000"/>
                <w:kern w:val="0"/>
                <w:sz w:val="21"/>
                <w:szCs w:val="21"/>
              </w:rPr>
            </w:pPr>
            <w:r>
              <w:rPr>
                <w:rFonts w:hint="eastAsia" w:ascii="仿宋" w:hAnsi="仿宋" w:cs="宋体"/>
                <w:color w:val="000000"/>
                <w:kern w:val="0"/>
                <w:sz w:val="21"/>
                <w:szCs w:val="21"/>
              </w:rPr>
              <w:t>124426</w:t>
            </w:r>
          </w:p>
        </w:tc>
        <w:tc>
          <w:tcPr>
            <w:tcW w:w="2410" w:type="dxa"/>
            <w:shd w:val="clear" w:color="auto" w:fill="DEEAF6" w:themeFill="accent5" w:themeFillTint="33"/>
            <w:vAlign w:val="center"/>
          </w:tcPr>
          <w:p w14:paraId="46BE25B4">
            <w:pPr>
              <w:widowControl/>
              <w:spacing w:line="240" w:lineRule="auto"/>
              <w:ind w:firstLine="0" w:firstLineChars="0"/>
              <w:jc w:val="center"/>
              <w:rPr>
                <w:rFonts w:ascii="仿宋" w:hAnsi="仿宋" w:cs="Arial"/>
                <w:color w:val="2E75B6" w:themeColor="accent5" w:themeShade="BF"/>
                <w:kern w:val="0"/>
                <w:sz w:val="21"/>
                <w:szCs w:val="21"/>
              </w:rPr>
            </w:pPr>
            <w:r>
              <w:rPr>
                <w:rFonts w:hint="eastAsia" w:ascii="仿宋" w:hAnsi="仿宋" w:cs="Arial"/>
                <w:color w:val="2E75B6" w:themeColor="accent5" w:themeShade="BF"/>
                <w:kern w:val="0"/>
                <w:sz w:val="21"/>
                <w:szCs w:val="21"/>
              </w:rPr>
              <w:t>苏州湖铭置业有限公司、江苏汇欣鑫房地产有限公司、苏州轨道交通资产经营有限公司</w:t>
            </w:r>
          </w:p>
        </w:tc>
        <w:tc>
          <w:tcPr>
            <w:tcW w:w="871" w:type="dxa"/>
            <w:shd w:val="clear" w:color="auto" w:fill="DEEAF6" w:themeFill="accent5" w:themeFillTint="33"/>
            <w:noWrap/>
            <w:vAlign w:val="center"/>
          </w:tcPr>
          <w:p w14:paraId="6983FCB7">
            <w:pPr>
              <w:widowControl/>
              <w:spacing w:line="240" w:lineRule="auto"/>
              <w:ind w:firstLine="0" w:firstLineChars="0"/>
              <w:jc w:val="center"/>
              <w:rPr>
                <w:rFonts w:ascii="仿宋" w:hAnsi="仿宋" w:cs="Arial"/>
                <w:color w:val="2E75B6" w:themeColor="accent5" w:themeShade="BF"/>
                <w:kern w:val="0"/>
                <w:sz w:val="21"/>
                <w:szCs w:val="21"/>
              </w:rPr>
            </w:pPr>
            <w:r>
              <w:rPr>
                <w:rFonts w:ascii="仿宋" w:hAnsi="仿宋" w:cs="Arial"/>
                <w:color w:val="2E75B6" w:themeColor="accent5" w:themeShade="BF"/>
                <w:kern w:val="0"/>
                <w:sz w:val="21"/>
                <w:szCs w:val="21"/>
              </w:rPr>
              <w:t>06-05</w:t>
            </w:r>
          </w:p>
        </w:tc>
      </w:tr>
      <w:tr w14:paraId="6E7B9F18">
        <w:tblPrEx>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CellMar>
            <w:top w:w="0" w:type="dxa"/>
            <w:left w:w="108" w:type="dxa"/>
            <w:bottom w:w="0" w:type="dxa"/>
            <w:right w:w="108" w:type="dxa"/>
          </w:tblCellMar>
        </w:tblPrEx>
        <w:trPr>
          <w:trHeight w:val="523" w:hRule="atLeast"/>
        </w:trPr>
        <w:tc>
          <w:tcPr>
            <w:tcW w:w="709" w:type="dxa"/>
            <w:vAlign w:val="center"/>
          </w:tcPr>
          <w:p w14:paraId="449F995C">
            <w:pPr>
              <w:widowControl/>
              <w:spacing w:line="240" w:lineRule="auto"/>
              <w:ind w:firstLine="0" w:firstLineChars="0"/>
              <w:jc w:val="center"/>
              <w:rPr>
                <w:rFonts w:ascii="仿宋" w:hAnsi="仿宋" w:cs="宋体"/>
                <w:b w:val="0"/>
                <w:bCs w:val="0"/>
                <w:color w:val="000000"/>
                <w:kern w:val="0"/>
                <w:sz w:val="21"/>
                <w:szCs w:val="21"/>
              </w:rPr>
            </w:pPr>
            <w:r>
              <w:rPr>
                <w:rFonts w:hint="eastAsia" w:ascii="仿宋" w:hAnsi="仿宋" w:cs="宋体"/>
                <w:b w:val="0"/>
                <w:bCs w:val="0"/>
                <w:color w:val="000000"/>
                <w:kern w:val="0"/>
                <w:sz w:val="21"/>
                <w:szCs w:val="21"/>
              </w:rPr>
              <w:t>重庆</w:t>
            </w:r>
          </w:p>
        </w:tc>
        <w:tc>
          <w:tcPr>
            <w:tcW w:w="1914" w:type="dxa"/>
            <w:vAlign w:val="center"/>
          </w:tcPr>
          <w:p w14:paraId="39CB45F9">
            <w:pPr>
              <w:widowControl/>
              <w:spacing w:line="240" w:lineRule="auto"/>
              <w:ind w:firstLine="0" w:firstLineChars="0"/>
              <w:jc w:val="center"/>
              <w:rPr>
                <w:rFonts w:ascii="仿宋" w:hAnsi="仿宋" w:cs="宋体"/>
                <w:color w:val="2E75B6" w:themeColor="accent5" w:themeShade="BF"/>
                <w:kern w:val="0"/>
                <w:sz w:val="21"/>
                <w:szCs w:val="21"/>
              </w:rPr>
            </w:pPr>
            <w:r>
              <w:rPr>
                <w:rFonts w:hint="eastAsia" w:ascii="仿宋" w:hAnsi="仿宋" w:cs="宋体"/>
                <w:color w:val="2E75B6" w:themeColor="accent5" w:themeShade="BF"/>
                <w:kern w:val="0"/>
                <w:sz w:val="21"/>
                <w:szCs w:val="21"/>
              </w:rPr>
              <w:t>渝北区两路组团</w:t>
            </w:r>
            <w:r>
              <w:rPr>
                <w:rFonts w:ascii="仿宋" w:hAnsi="仿宋" w:cs="Arial"/>
                <w:color w:val="2E75B6" w:themeColor="accent5" w:themeShade="BF"/>
                <w:kern w:val="0"/>
                <w:sz w:val="21"/>
                <w:szCs w:val="21"/>
              </w:rPr>
              <w:t>A</w:t>
            </w:r>
            <w:r>
              <w:rPr>
                <w:rFonts w:hint="eastAsia" w:ascii="仿宋" w:hAnsi="仿宋" w:cs="宋体"/>
                <w:color w:val="2E75B6" w:themeColor="accent5" w:themeShade="BF"/>
                <w:kern w:val="0"/>
                <w:sz w:val="21"/>
                <w:szCs w:val="21"/>
              </w:rPr>
              <w:t>分区</w:t>
            </w:r>
            <w:r>
              <w:rPr>
                <w:rFonts w:ascii="仿宋" w:hAnsi="仿宋" w:cs="Arial"/>
                <w:color w:val="2E75B6" w:themeColor="accent5" w:themeShade="BF"/>
                <w:kern w:val="0"/>
                <w:sz w:val="21"/>
                <w:szCs w:val="21"/>
              </w:rPr>
              <w:t>A117-2/07</w:t>
            </w:r>
            <w:r>
              <w:rPr>
                <w:rFonts w:hint="eastAsia" w:ascii="仿宋" w:hAnsi="仿宋" w:cs="宋体"/>
                <w:color w:val="2E75B6" w:themeColor="accent5" w:themeShade="BF"/>
                <w:kern w:val="0"/>
                <w:sz w:val="21"/>
                <w:szCs w:val="21"/>
              </w:rPr>
              <w:t>地块</w:t>
            </w:r>
            <w:r>
              <w:rPr>
                <w:rFonts w:ascii="仿宋" w:hAnsi="仿宋" w:cs="Arial"/>
                <w:color w:val="2E75B6" w:themeColor="accent5" w:themeShade="BF"/>
                <w:kern w:val="0"/>
                <w:sz w:val="21"/>
                <w:szCs w:val="21"/>
              </w:rPr>
              <w:t>24013</w:t>
            </w:r>
          </w:p>
        </w:tc>
        <w:tc>
          <w:tcPr>
            <w:tcW w:w="921" w:type="dxa"/>
            <w:vAlign w:val="center"/>
          </w:tcPr>
          <w:p w14:paraId="46483C58">
            <w:pPr>
              <w:widowControl/>
              <w:spacing w:line="240" w:lineRule="auto"/>
              <w:ind w:firstLine="0" w:firstLineChars="0"/>
              <w:jc w:val="center"/>
              <w:rPr>
                <w:rFonts w:ascii="仿宋" w:hAnsi="仿宋" w:cs="宋体"/>
                <w:color w:val="000000"/>
                <w:kern w:val="0"/>
                <w:sz w:val="21"/>
                <w:szCs w:val="21"/>
              </w:rPr>
            </w:pPr>
            <w:r>
              <w:rPr>
                <w:rFonts w:hint="eastAsia" w:ascii="仿宋" w:hAnsi="仿宋" w:cs="宋体"/>
                <w:color w:val="000000"/>
                <w:kern w:val="0"/>
                <w:sz w:val="21"/>
                <w:szCs w:val="21"/>
              </w:rPr>
              <w:t>商住</w:t>
            </w:r>
          </w:p>
        </w:tc>
        <w:tc>
          <w:tcPr>
            <w:tcW w:w="851" w:type="dxa"/>
            <w:noWrap/>
            <w:vAlign w:val="center"/>
          </w:tcPr>
          <w:p w14:paraId="5C3FE278">
            <w:pPr>
              <w:widowControl/>
              <w:spacing w:line="240" w:lineRule="auto"/>
              <w:ind w:firstLine="0" w:firstLineChars="0"/>
              <w:jc w:val="center"/>
              <w:rPr>
                <w:rFonts w:ascii="仿宋" w:hAnsi="仿宋" w:cs="宋体"/>
                <w:color w:val="000000"/>
                <w:kern w:val="0"/>
                <w:sz w:val="21"/>
                <w:szCs w:val="21"/>
              </w:rPr>
            </w:pPr>
            <w:r>
              <w:rPr>
                <w:rFonts w:hint="eastAsia" w:ascii="仿宋" w:hAnsi="仿宋" w:cs="宋体"/>
                <w:color w:val="000000"/>
                <w:kern w:val="0"/>
                <w:sz w:val="21"/>
                <w:szCs w:val="21"/>
              </w:rPr>
              <w:t>47686</w:t>
            </w:r>
          </w:p>
        </w:tc>
        <w:tc>
          <w:tcPr>
            <w:tcW w:w="850" w:type="dxa"/>
            <w:noWrap/>
            <w:vAlign w:val="center"/>
          </w:tcPr>
          <w:p w14:paraId="1D7412EA">
            <w:pPr>
              <w:widowControl/>
              <w:spacing w:line="240" w:lineRule="auto"/>
              <w:ind w:firstLine="0" w:firstLineChars="0"/>
              <w:jc w:val="center"/>
              <w:rPr>
                <w:rFonts w:ascii="仿宋" w:hAnsi="仿宋" w:cs="宋体"/>
                <w:color w:val="000000"/>
                <w:kern w:val="0"/>
                <w:sz w:val="21"/>
                <w:szCs w:val="21"/>
              </w:rPr>
            </w:pPr>
            <w:r>
              <w:rPr>
                <w:rFonts w:hint="eastAsia" w:ascii="仿宋" w:hAnsi="仿宋" w:cs="宋体"/>
                <w:color w:val="000000"/>
                <w:kern w:val="0"/>
                <w:sz w:val="21"/>
                <w:szCs w:val="21"/>
              </w:rPr>
              <w:t>21320</w:t>
            </w:r>
          </w:p>
        </w:tc>
        <w:tc>
          <w:tcPr>
            <w:tcW w:w="2410" w:type="dxa"/>
            <w:vAlign w:val="center"/>
          </w:tcPr>
          <w:p w14:paraId="5504F390">
            <w:pPr>
              <w:widowControl/>
              <w:spacing w:line="240" w:lineRule="auto"/>
              <w:ind w:firstLine="0" w:firstLineChars="0"/>
              <w:jc w:val="center"/>
              <w:rPr>
                <w:rFonts w:ascii="仿宋" w:hAnsi="仿宋" w:cs="宋体"/>
                <w:color w:val="2E75B6" w:themeColor="accent5" w:themeShade="BF"/>
                <w:kern w:val="0"/>
                <w:sz w:val="21"/>
                <w:szCs w:val="21"/>
              </w:rPr>
            </w:pPr>
            <w:r>
              <w:rPr>
                <w:rFonts w:hint="eastAsia" w:ascii="仿宋" w:hAnsi="仿宋" w:cs="宋体"/>
                <w:color w:val="2E75B6" w:themeColor="accent5" w:themeShade="BF"/>
                <w:kern w:val="0"/>
                <w:sz w:val="21"/>
                <w:szCs w:val="21"/>
              </w:rPr>
              <w:t>重庆城市综合交通枢纽（集团）有限公司</w:t>
            </w:r>
          </w:p>
        </w:tc>
        <w:tc>
          <w:tcPr>
            <w:tcW w:w="871" w:type="dxa"/>
            <w:noWrap/>
            <w:vAlign w:val="center"/>
          </w:tcPr>
          <w:p w14:paraId="49E19771">
            <w:pPr>
              <w:widowControl/>
              <w:spacing w:line="240" w:lineRule="auto"/>
              <w:ind w:firstLine="0" w:firstLineChars="0"/>
              <w:jc w:val="center"/>
              <w:rPr>
                <w:rFonts w:ascii="仿宋" w:hAnsi="仿宋" w:cs="Arial"/>
                <w:color w:val="2E75B6" w:themeColor="accent5" w:themeShade="BF"/>
                <w:kern w:val="0"/>
                <w:sz w:val="21"/>
                <w:szCs w:val="21"/>
              </w:rPr>
            </w:pPr>
            <w:r>
              <w:rPr>
                <w:rFonts w:ascii="仿宋" w:hAnsi="仿宋" w:cs="Arial"/>
                <w:color w:val="2E75B6" w:themeColor="accent5" w:themeShade="BF"/>
                <w:kern w:val="0"/>
                <w:sz w:val="21"/>
                <w:szCs w:val="21"/>
              </w:rPr>
              <w:t>06-21</w:t>
            </w:r>
          </w:p>
        </w:tc>
      </w:tr>
      <w:tr w14:paraId="66C68BB0">
        <w:tblPrEx>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CellMar>
            <w:top w:w="0" w:type="dxa"/>
            <w:left w:w="108" w:type="dxa"/>
            <w:bottom w:w="0" w:type="dxa"/>
            <w:right w:w="108" w:type="dxa"/>
          </w:tblCellMar>
        </w:tblPrEx>
        <w:trPr>
          <w:trHeight w:val="469" w:hRule="atLeast"/>
        </w:trPr>
        <w:tc>
          <w:tcPr>
            <w:tcW w:w="709" w:type="dxa"/>
            <w:shd w:val="clear" w:color="auto" w:fill="DEEAF6" w:themeFill="accent5" w:themeFillTint="33"/>
            <w:vAlign w:val="center"/>
          </w:tcPr>
          <w:p w14:paraId="17933BC8">
            <w:pPr>
              <w:widowControl/>
              <w:spacing w:line="240" w:lineRule="auto"/>
              <w:ind w:firstLine="0" w:firstLineChars="0"/>
              <w:jc w:val="center"/>
              <w:rPr>
                <w:rFonts w:ascii="仿宋" w:hAnsi="仿宋" w:cs="宋体"/>
                <w:b w:val="0"/>
                <w:bCs w:val="0"/>
                <w:color w:val="000000"/>
                <w:kern w:val="0"/>
                <w:sz w:val="21"/>
                <w:szCs w:val="21"/>
              </w:rPr>
            </w:pPr>
            <w:r>
              <w:rPr>
                <w:rFonts w:hint="eastAsia" w:ascii="仿宋" w:hAnsi="仿宋" w:cs="宋体"/>
                <w:b w:val="0"/>
                <w:bCs w:val="0"/>
                <w:color w:val="000000"/>
                <w:kern w:val="0"/>
                <w:sz w:val="21"/>
                <w:szCs w:val="21"/>
              </w:rPr>
              <w:t>重庆</w:t>
            </w:r>
          </w:p>
        </w:tc>
        <w:tc>
          <w:tcPr>
            <w:tcW w:w="1914" w:type="dxa"/>
            <w:shd w:val="clear" w:color="auto" w:fill="DEEAF6" w:themeFill="accent5" w:themeFillTint="33"/>
            <w:vAlign w:val="center"/>
          </w:tcPr>
          <w:p w14:paraId="0669160A">
            <w:pPr>
              <w:widowControl/>
              <w:spacing w:line="240" w:lineRule="auto"/>
              <w:ind w:firstLine="0" w:firstLineChars="0"/>
              <w:jc w:val="center"/>
              <w:rPr>
                <w:rFonts w:ascii="仿宋" w:hAnsi="仿宋" w:cs="宋体"/>
                <w:color w:val="2E75B6" w:themeColor="accent5" w:themeShade="BF"/>
                <w:kern w:val="0"/>
                <w:sz w:val="21"/>
                <w:szCs w:val="21"/>
              </w:rPr>
            </w:pPr>
            <w:r>
              <w:rPr>
                <w:rFonts w:hint="eastAsia" w:ascii="仿宋" w:hAnsi="仿宋" w:cs="宋体"/>
                <w:color w:val="2E75B6" w:themeColor="accent5" w:themeShade="BF"/>
                <w:kern w:val="0"/>
                <w:sz w:val="21"/>
                <w:szCs w:val="21"/>
              </w:rPr>
              <w:t>两江新区礼嘉组团A分区A41-5地块</w:t>
            </w:r>
          </w:p>
        </w:tc>
        <w:tc>
          <w:tcPr>
            <w:tcW w:w="921" w:type="dxa"/>
            <w:shd w:val="clear" w:color="auto" w:fill="DEEAF6" w:themeFill="accent5" w:themeFillTint="33"/>
            <w:vAlign w:val="center"/>
          </w:tcPr>
          <w:p w14:paraId="087F41D2">
            <w:pPr>
              <w:widowControl/>
              <w:spacing w:line="240" w:lineRule="auto"/>
              <w:ind w:firstLine="0" w:firstLineChars="0"/>
              <w:jc w:val="center"/>
              <w:rPr>
                <w:rFonts w:ascii="仿宋" w:hAnsi="仿宋" w:cs="宋体"/>
                <w:color w:val="000000"/>
                <w:kern w:val="0"/>
                <w:sz w:val="21"/>
                <w:szCs w:val="21"/>
              </w:rPr>
            </w:pPr>
            <w:r>
              <w:rPr>
                <w:rFonts w:hint="eastAsia" w:ascii="仿宋" w:hAnsi="仿宋" w:cs="宋体"/>
                <w:color w:val="000000"/>
                <w:kern w:val="0"/>
                <w:sz w:val="21"/>
                <w:szCs w:val="21"/>
              </w:rPr>
              <w:t>纯住宅</w:t>
            </w:r>
          </w:p>
        </w:tc>
        <w:tc>
          <w:tcPr>
            <w:tcW w:w="851" w:type="dxa"/>
            <w:shd w:val="clear" w:color="auto" w:fill="DEEAF6" w:themeFill="accent5" w:themeFillTint="33"/>
            <w:noWrap/>
            <w:vAlign w:val="center"/>
          </w:tcPr>
          <w:p w14:paraId="150CD402">
            <w:pPr>
              <w:widowControl/>
              <w:spacing w:line="240" w:lineRule="auto"/>
              <w:ind w:firstLine="0" w:firstLineChars="0"/>
              <w:jc w:val="center"/>
              <w:rPr>
                <w:rFonts w:ascii="仿宋" w:hAnsi="仿宋" w:cs="宋体"/>
                <w:color w:val="000000"/>
                <w:kern w:val="0"/>
                <w:sz w:val="21"/>
                <w:szCs w:val="21"/>
              </w:rPr>
            </w:pPr>
            <w:r>
              <w:rPr>
                <w:rFonts w:hint="eastAsia" w:ascii="仿宋" w:hAnsi="仿宋" w:cs="宋体"/>
                <w:color w:val="000000"/>
                <w:kern w:val="0"/>
                <w:sz w:val="21"/>
                <w:szCs w:val="21"/>
              </w:rPr>
              <w:t>23449</w:t>
            </w:r>
          </w:p>
        </w:tc>
        <w:tc>
          <w:tcPr>
            <w:tcW w:w="850" w:type="dxa"/>
            <w:shd w:val="clear" w:color="auto" w:fill="DEEAF6" w:themeFill="accent5" w:themeFillTint="33"/>
            <w:noWrap/>
            <w:vAlign w:val="center"/>
          </w:tcPr>
          <w:p w14:paraId="548945D8">
            <w:pPr>
              <w:widowControl/>
              <w:spacing w:line="240" w:lineRule="auto"/>
              <w:ind w:firstLine="0" w:firstLineChars="0"/>
              <w:jc w:val="center"/>
              <w:rPr>
                <w:rFonts w:ascii="仿宋" w:hAnsi="仿宋" w:cs="宋体"/>
                <w:color w:val="000000"/>
                <w:kern w:val="0"/>
                <w:sz w:val="21"/>
                <w:szCs w:val="21"/>
              </w:rPr>
            </w:pPr>
            <w:r>
              <w:rPr>
                <w:rFonts w:hint="eastAsia" w:ascii="仿宋" w:hAnsi="仿宋" w:cs="宋体"/>
                <w:color w:val="000000"/>
                <w:kern w:val="0"/>
                <w:sz w:val="21"/>
                <w:szCs w:val="21"/>
              </w:rPr>
              <w:t>16415</w:t>
            </w:r>
          </w:p>
        </w:tc>
        <w:tc>
          <w:tcPr>
            <w:tcW w:w="2410" w:type="dxa"/>
            <w:shd w:val="clear" w:color="auto" w:fill="DEEAF6" w:themeFill="accent5" w:themeFillTint="33"/>
            <w:vAlign w:val="center"/>
          </w:tcPr>
          <w:p w14:paraId="392E7A8E">
            <w:pPr>
              <w:widowControl/>
              <w:spacing w:line="240" w:lineRule="auto"/>
              <w:ind w:firstLine="0" w:firstLineChars="0"/>
              <w:jc w:val="center"/>
              <w:rPr>
                <w:rFonts w:ascii="仿宋" w:hAnsi="仿宋" w:cs="宋体"/>
                <w:color w:val="2E75B6" w:themeColor="accent5" w:themeShade="BF"/>
                <w:kern w:val="0"/>
                <w:sz w:val="21"/>
                <w:szCs w:val="21"/>
              </w:rPr>
            </w:pPr>
            <w:r>
              <w:rPr>
                <w:rFonts w:hint="eastAsia" w:ascii="仿宋" w:hAnsi="仿宋" w:cs="宋体"/>
                <w:color w:val="2E75B6" w:themeColor="accent5" w:themeShade="BF"/>
                <w:kern w:val="0"/>
                <w:sz w:val="21"/>
                <w:szCs w:val="21"/>
              </w:rPr>
              <w:t>重庆市轨道交通（集团）有限公司</w:t>
            </w:r>
          </w:p>
        </w:tc>
        <w:tc>
          <w:tcPr>
            <w:tcW w:w="871" w:type="dxa"/>
            <w:shd w:val="clear" w:color="auto" w:fill="DEEAF6" w:themeFill="accent5" w:themeFillTint="33"/>
            <w:noWrap/>
            <w:vAlign w:val="center"/>
          </w:tcPr>
          <w:p w14:paraId="430D0D5D">
            <w:pPr>
              <w:widowControl/>
              <w:spacing w:line="240" w:lineRule="auto"/>
              <w:ind w:firstLine="0" w:firstLineChars="0"/>
              <w:jc w:val="center"/>
              <w:rPr>
                <w:rFonts w:ascii="仿宋" w:hAnsi="仿宋" w:cs="Arial"/>
                <w:color w:val="2E75B6" w:themeColor="accent5" w:themeShade="BF"/>
                <w:kern w:val="0"/>
                <w:sz w:val="21"/>
                <w:szCs w:val="21"/>
              </w:rPr>
            </w:pPr>
            <w:r>
              <w:rPr>
                <w:rFonts w:ascii="仿宋" w:hAnsi="仿宋" w:cs="Arial"/>
                <w:color w:val="2E75B6" w:themeColor="accent5" w:themeShade="BF"/>
                <w:kern w:val="0"/>
                <w:sz w:val="21"/>
                <w:szCs w:val="21"/>
              </w:rPr>
              <w:t>06-28</w:t>
            </w:r>
          </w:p>
        </w:tc>
      </w:tr>
      <w:tr w14:paraId="50439F87">
        <w:tblPrEx>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CellMar>
            <w:top w:w="0" w:type="dxa"/>
            <w:left w:w="108" w:type="dxa"/>
            <w:bottom w:w="0" w:type="dxa"/>
            <w:right w:w="108" w:type="dxa"/>
          </w:tblCellMar>
        </w:tblPrEx>
        <w:trPr>
          <w:trHeight w:val="786" w:hRule="atLeast"/>
        </w:trPr>
        <w:tc>
          <w:tcPr>
            <w:tcW w:w="709" w:type="dxa"/>
            <w:vAlign w:val="center"/>
          </w:tcPr>
          <w:p w14:paraId="69E9D625">
            <w:pPr>
              <w:widowControl/>
              <w:spacing w:line="240" w:lineRule="auto"/>
              <w:ind w:firstLine="0" w:firstLineChars="0"/>
              <w:jc w:val="center"/>
              <w:rPr>
                <w:rFonts w:ascii="仿宋" w:hAnsi="仿宋" w:cs="宋体"/>
                <w:b w:val="0"/>
                <w:bCs w:val="0"/>
                <w:color w:val="000000"/>
                <w:kern w:val="0"/>
                <w:sz w:val="21"/>
                <w:szCs w:val="21"/>
              </w:rPr>
            </w:pPr>
            <w:r>
              <w:rPr>
                <w:rFonts w:hint="eastAsia" w:ascii="仿宋" w:hAnsi="仿宋" w:cs="宋体"/>
                <w:b w:val="0"/>
                <w:bCs w:val="0"/>
                <w:color w:val="000000"/>
                <w:kern w:val="0"/>
                <w:sz w:val="21"/>
                <w:szCs w:val="21"/>
              </w:rPr>
              <w:t>宁波</w:t>
            </w:r>
          </w:p>
        </w:tc>
        <w:tc>
          <w:tcPr>
            <w:tcW w:w="1914" w:type="dxa"/>
            <w:vAlign w:val="center"/>
          </w:tcPr>
          <w:p w14:paraId="4AC94945">
            <w:pPr>
              <w:widowControl/>
              <w:spacing w:line="240" w:lineRule="auto"/>
              <w:ind w:firstLine="0" w:firstLineChars="0"/>
              <w:jc w:val="center"/>
              <w:rPr>
                <w:rFonts w:ascii="仿宋" w:hAnsi="仿宋" w:cs="宋体"/>
                <w:color w:val="2E75B6" w:themeColor="accent5" w:themeShade="BF"/>
                <w:kern w:val="0"/>
                <w:sz w:val="21"/>
                <w:szCs w:val="21"/>
              </w:rPr>
            </w:pPr>
            <w:r>
              <w:rPr>
                <w:rFonts w:hint="eastAsia" w:ascii="仿宋" w:hAnsi="仿宋" w:cs="宋体"/>
                <w:color w:val="2E75B6" w:themeColor="accent5" w:themeShade="BF"/>
                <w:kern w:val="0"/>
                <w:sz w:val="21"/>
                <w:szCs w:val="21"/>
              </w:rPr>
              <w:t>鄞州区</w:t>
            </w:r>
            <w:r>
              <w:rPr>
                <w:rFonts w:ascii="仿宋" w:hAnsi="仿宋" w:cs="Arial"/>
                <w:color w:val="2E75B6" w:themeColor="accent5" w:themeShade="BF"/>
                <w:kern w:val="0"/>
                <w:sz w:val="21"/>
                <w:szCs w:val="21"/>
              </w:rPr>
              <w:t>YZ06-01-h4-1</w:t>
            </w:r>
            <w:r>
              <w:rPr>
                <w:rFonts w:hint="eastAsia" w:ascii="仿宋" w:hAnsi="仿宋" w:cs="宋体"/>
                <w:color w:val="2E75B6" w:themeColor="accent5" w:themeShade="BF"/>
                <w:kern w:val="0"/>
                <w:sz w:val="21"/>
                <w:szCs w:val="21"/>
              </w:rPr>
              <w:t>地块</w:t>
            </w:r>
          </w:p>
        </w:tc>
        <w:tc>
          <w:tcPr>
            <w:tcW w:w="921" w:type="dxa"/>
            <w:vAlign w:val="center"/>
          </w:tcPr>
          <w:p w14:paraId="270CB143">
            <w:pPr>
              <w:widowControl/>
              <w:spacing w:line="240" w:lineRule="auto"/>
              <w:ind w:firstLine="0" w:firstLineChars="0"/>
              <w:jc w:val="center"/>
              <w:rPr>
                <w:rFonts w:ascii="仿宋" w:hAnsi="仿宋" w:cs="宋体"/>
                <w:color w:val="000000"/>
                <w:kern w:val="0"/>
                <w:sz w:val="21"/>
                <w:szCs w:val="21"/>
              </w:rPr>
            </w:pPr>
            <w:r>
              <w:rPr>
                <w:rFonts w:hint="eastAsia" w:ascii="仿宋" w:hAnsi="仿宋" w:cs="宋体"/>
                <w:color w:val="000000"/>
                <w:kern w:val="0"/>
                <w:sz w:val="21"/>
                <w:szCs w:val="21"/>
              </w:rPr>
              <w:t>纯住宅</w:t>
            </w:r>
          </w:p>
        </w:tc>
        <w:tc>
          <w:tcPr>
            <w:tcW w:w="851" w:type="dxa"/>
            <w:noWrap/>
            <w:vAlign w:val="center"/>
          </w:tcPr>
          <w:p w14:paraId="2CF91EF9">
            <w:pPr>
              <w:widowControl/>
              <w:spacing w:line="240" w:lineRule="auto"/>
              <w:ind w:firstLine="0" w:firstLineChars="0"/>
              <w:jc w:val="center"/>
              <w:rPr>
                <w:rFonts w:ascii="仿宋" w:hAnsi="仿宋" w:cs="宋体"/>
                <w:color w:val="000000"/>
                <w:kern w:val="0"/>
                <w:sz w:val="21"/>
                <w:szCs w:val="21"/>
              </w:rPr>
            </w:pPr>
            <w:r>
              <w:rPr>
                <w:rFonts w:hint="eastAsia" w:ascii="仿宋" w:hAnsi="仿宋" w:cs="宋体"/>
                <w:color w:val="000000"/>
                <w:kern w:val="0"/>
                <w:sz w:val="21"/>
                <w:szCs w:val="21"/>
              </w:rPr>
              <w:t>91883</w:t>
            </w:r>
          </w:p>
        </w:tc>
        <w:tc>
          <w:tcPr>
            <w:tcW w:w="850" w:type="dxa"/>
            <w:noWrap/>
            <w:vAlign w:val="center"/>
          </w:tcPr>
          <w:p w14:paraId="74F10060">
            <w:pPr>
              <w:widowControl/>
              <w:spacing w:line="240" w:lineRule="auto"/>
              <w:ind w:firstLine="0" w:firstLineChars="0"/>
              <w:jc w:val="center"/>
              <w:rPr>
                <w:rFonts w:ascii="仿宋" w:hAnsi="仿宋" w:cs="宋体"/>
                <w:color w:val="000000"/>
                <w:kern w:val="0"/>
                <w:sz w:val="21"/>
                <w:szCs w:val="21"/>
              </w:rPr>
            </w:pPr>
            <w:r>
              <w:rPr>
                <w:rFonts w:hint="eastAsia" w:ascii="仿宋" w:hAnsi="仿宋" w:cs="宋体"/>
                <w:color w:val="000000"/>
                <w:kern w:val="0"/>
                <w:sz w:val="21"/>
                <w:szCs w:val="21"/>
              </w:rPr>
              <w:t>262785</w:t>
            </w:r>
          </w:p>
        </w:tc>
        <w:tc>
          <w:tcPr>
            <w:tcW w:w="2410" w:type="dxa"/>
            <w:vAlign w:val="center"/>
          </w:tcPr>
          <w:p w14:paraId="6EF03059">
            <w:pPr>
              <w:widowControl/>
              <w:spacing w:line="240" w:lineRule="auto"/>
              <w:ind w:firstLine="0" w:firstLineChars="0"/>
              <w:jc w:val="center"/>
              <w:rPr>
                <w:rFonts w:ascii="仿宋" w:hAnsi="仿宋" w:cs="Arial"/>
                <w:color w:val="2E75B6" w:themeColor="accent5" w:themeShade="BF"/>
                <w:kern w:val="0"/>
                <w:sz w:val="21"/>
                <w:szCs w:val="21"/>
              </w:rPr>
            </w:pPr>
            <w:r>
              <w:rPr>
                <w:rFonts w:hint="eastAsia" w:ascii="仿宋" w:hAnsi="仿宋" w:cs="Arial"/>
                <w:color w:val="2E75B6" w:themeColor="accent5" w:themeShade="BF"/>
                <w:kern w:val="0"/>
                <w:sz w:val="21"/>
                <w:szCs w:val="21"/>
              </w:rPr>
              <w:t>宁波江山万里置业有限公司、宁波东韵置业有限公司、宁波市轨道交通物产置业有限公司</w:t>
            </w:r>
          </w:p>
        </w:tc>
        <w:tc>
          <w:tcPr>
            <w:tcW w:w="871" w:type="dxa"/>
            <w:noWrap/>
            <w:vAlign w:val="center"/>
          </w:tcPr>
          <w:p w14:paraId="1A7687C7">
            <w:pPr>
              <w:widowControl/>
              <w:spacing w:line="240" w:lineRule="auto"/>
              <w:ind w:firstLine="0" w:firstLineChars="0"/>
              <w:jc w:val="center"/>
              <w:rPr>
                <w:rFonts w:ascii="仿宋" w:hAnsi="仿宋" w:cs="Arial"/>
                <w:color w:val="2E75B6" w:themeColor="accent5" w:themeShade="BF"/>
                <w:kern w:val="0"/>
                <w:sz w:val="21"/>
                <w:szCs w:val="21"/>
              </w:rPr>
            </w:pPr>
            <w:r>
              <w:rPr>
                <w:rFonts w:ascii="仿宋" w:hAnsi="仿宋" w:cs="Arial"/>
                <w:color w:val="2E75B6" w:themeColor="accent5" w:themeShade="BF"/>
                <w:kern w:val="0"/>
                <w:sz w:val="21"/>
                <w:szCs w:val="21"/>
              </w:rPr>
              <w:t>06-28</w:t>
            </w:r>
          </w:p>
        </w:tc>
      </w:tr>
      <w:tr w14:paraId="1FF8B76A">
        <w:tblPrEx>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CellMar>
            <w:top w:w="0" w:type="dxa"/>
            <w:left w:w="108" w:type="dxa"/>
            <w:bottom w:w="0" w:type="dxa"/>
            <w:right w:w="108" w:type="dxa"/>
          </w:tblCellMar>
        </w:tblPrEx>
        <w:trPr>
          <w:trHeight w:val="786" w:hRule="atLeast"/>
        </w:trPr>
        <w:tc>
          <w:tcPr>
            <w:tcW w:w="709" w:type="dxa"/>
            <w:shd w:val="clear" w:color="auto" w:fill="DEEAF6" w:themeFill="accent5" w:themeFillTint="33"/>
            <w:vAlign w:val="center"/>
          </w:tcPr>
          <w:p w14:paraId="4D4BEDC3">
            <w:pPr>
              <w:widowControl/>
              <w:spacing w:line="240" w:lineRule="auto"/>
              <w:ind w:firstLine="0" w:firstLineChars="0"/>
              <w:jc w:val="center"/>
              <w:rPr>
                <w:rFonts w:ascii="仿宋" w:hAnsi="仿宋" w:cs="宋体"/>
                <w:b w:val="0"/>
                <w:bCs w:val="0"/>
                <w:color w:val="000000"/>
                <w:kern w:val="0"/>
                <w:sz w:val="21"/>
                <w:szCs w:val="21"/>
              </w:rPr>
            </w:pPr>
            <w:r>
              <w:rPr>
                <w:rFonts w:hint="eastAsia" w:ascii="仿宋" w:hAnsi="仿宋" w:cs="宋体"/>
                <w:b w:val="0"/>
                <w:bCs w:val="0"/>
                <w:color w:val="000000"/>
                <w:kern w:val="0"/>
                <w:sz w:val="21"/>
                <w:szCs w:val="21"/>
              </w:rPr>
              <w:t>昆明</w:t>
            </w:r>
          </w:p>
        </w:tc>
        <w:tc>
          <w:tcPr>
            <w:tcW w:w="1914" w:type="dxa"/>
            <w:shd w:val="clear" w:color="auto" w:fill="DEEAF6" w:themeFill="accent5" w:themeFillTint="33"/>
            <w:vAlign w:val="center"/>
          </w:tcPr>
          <w:p w14:paraId="74ED2502">
            <w:pPr>
              <w:widowControl/>
              <w:spacing w:line="240" w:lineRule="auto"/>
              <w:ind w:firstLine="0" w:firstLineChars="0"/>
              <w:jc w:val="center"/>
              <w:rPr>
                <w:rFonts w:ascii="仿宋" w:hAnsi="仿宋" w:cs="宋体"/>
                <w:color w:val="2E75B6" w:themeColor="accent5" w:themeShade="BF"/>
                <w:kern w:val="0"/>
                <w:sz w:val="21"/>
                <w:szCs w:val="21"/>
              </w:rPr>
            </w:pPr>
            <w:r>
              <w:rPr>
                <w:rFonts w:hint="eastAsia" w:ascii="仿宋" w:hAnsi="仿宋" w:cs="宋体"/>
                <w:color w:val="2E75B6" w:themeColor="accent5" w:themeShade="BF"/>
                <w:kern w:val="0"/>
                <w:sz w:val="21"/>
                <w:szCs w:val="21"/>
              </w:rPr>
              <w:t>西山区福海街道办事处福海社区居民委员会</w:t>
            </w:r>
            <w:r>
              <w:rPr>
                <w:rFonts w:ascii="仿宋" w:hAnsi="仿宋" w:cs="Arial"/>
                <w:color w:val="2E75B6" w:themeColor="accent5" w:themeShade="BF"/>
                <w:kern w:val="0"/>
                <w:sz w:val="21"/>
                <w:szCs w:val="21"/>
              </w:rPr>
              <w:t>KCXS2023-16</w:t>
            </w:r>
            <w:r>
              <w:rPr>
                <w:rFonts w:hint="eastAsia" w:ascii="仿宋" w:hAnsi="仿宋" w:cs="宋体"/>
                <w:color w:val="2E75B6" w:themeColor="accent5" w:themeShade="BF"/>
                <w:kern w:val="0"/>
                <w:sz w:val="21"/>
                <w:szCs w:val="21"/>
              </w:rPr>
              <w:t>号地块</w:t>
            </w:r>
          </w:p>
        </w:tc>
        <w:tc>
          <w:tcPr>
            <w:tcW w:w="921" w:type="dxa"/>
            <w:shd w:val="clear" w:color="auto" w:fill="DEEAF6" w:themeFill="accent5" w:themeFillTint="33"/>
            <w:vAlign w:val="center"/>
          </w:tcPr>
          <w:p w14:paraId="48B1AF65">
            <w:pPr>
              <w:widowControl/>
              <w:spacing w:line="240" w:lineRule="auto"/>
              <w:ind w:firstLine="0" w:firstLineChars="0"/>
              <w:jc w:val="center"/>
              <w:rPr>
                <w:rFonts w:ascii="仿宋" w:hAnsi="仿宋" w:cs="宋体"/>
                <w:color w:val="000000"/>
                <w:kern w:val="0"/>
                <w:sz w:val="21"/>
                <w:szCs w:val="21"/>
              </w:rPr>
            </w:pPr>
            <w:r>
              <w:rPr>
                <w:rFonts w:hint="eastAsia" w:ascii="仿宋" w:hAnsi="仿宋" w:cs="宋体"/>
                <w:color w:val="000000"/>
                <w:kern w:val="0"/>
                <w:sz w:val="21"/>
                <w:szCs w:val="21"/>
              </w:rPr>
              <w:t>纯住宅</w:t>
            </w:r>
          </w:p>
        </w:tc>
        <w:tc>
          <w:tcPr>
            <w:tcW w:w="851" w:type="dxa"/>
            <w:shd w:val="clear" w:color="auto" w:fill="DEEAF6" w:themeFill="accent5" w:themeFillTint="33"/>
            <w:noWrap/>
            <w:vAlign w:val="center"/>
          </w:tcPr>
          <w:p w14:paraId="63A27E4C">
            <w:pPr>
              <w:widowControl/>
              <w:spacing w:line="240" w:lineRule="auto"/>
              <w:ind w:firstLine="0" w:firstLineChars="0"/>
              <w:jc w:val="center"/>
              <w:rPr>
                <w:rFonts w:ascii="仿宋" w:hAnsi="仿宋" w:cs="宋体"/>
                <w:color w:val="000000"/>
                <w:kern w:val="0"/>
                <w:sz w:val="21"/>
                <w:szCs w:val="21"/>
              </w:rPr>
            </w:pPr>
            <w:r>
              <w:rPr>
                <w:rFonts w:hint="eastAsia" w:ascii="仿宋" w:hAnsi="仿宋" w:cs="宋体"/>
                <w:color w:val="000000"/>
                <w:kern w:val="0"/>
                <w:sz w:val="21"/>
                <w:szCs w:val="21"/>
              </w:rPr>
              <w:t>142248</w:t>
            </w:r>
          </w:p>
        </w:tc>
        <w:tc>
          <w:tcPr>
            <w:tcW w:w="850" w:type="dxa"/>
            <w:shd w:val="clear" w:color="auto" w:fill="DEEAF6" w:themeFill="accent5" w:themeFillTint="33"/>
            <w:noWrap/>
            <w:vAlign w:val="center"/>
          </w:tcPr>
          <w:p w14:paraId="7F043AB1">
            <w:pPr>
              <w:widowControl/>
              <w:spacing w:line="240" w:lineRule="auto"/>
              <w:ind w:firstLine="0" w:firstLineChars="0"/>
              <w:jc w:val="center"/>
              <w:rPr>
                <w:rFonts w:ascii="仿宋" w:hAnsi="仿宋" w:cs="宋体"/>
                <w:color w:val="000000"/>
                <w:kern w:val="0"/>
                <w:sz w:val="21"/>
                <w:szCs w:val="21"/>
              </w:rPr>
            </w:pPr>
            <w:r>
              <w:rPr>
                <w:rFonts w:hint="eastAsia" w:ascii="仿宋" w:hAnsi="仿宋" w:cs="宋体"/>
                <w:color w:val="000000"/>
                <w:kern w:val="0"/>
                <w:sz w:val="21"/>
                <w:szCs w:val="21"/>
              </w:rPr>
              <w:t>17070</w:t>
            </w:r>
          </w:p>
        </w:tc>
        <w:tc>
          <w:tcPr>
            <w:tcW w:w="2410" w:type="dxa"/>
            <w:shd w:val="clear" w:color="auto" w:fill="DEEAF6" w:themeFill="accent5" w:themeFillTint="33"/>
            <w:vAlign w:val="center"/>
          </w:tcPr>
          <w:p w14:paraId="5BA6F8F2">
            <w:pPr>
              <w:widowControl/>
              <w:spacing w:line="240" w:lineRule="auto"/>
              <w:ind w:firstLine="0" w:firstLineChars="0"/>
              <w:jc w:val="center"/>
              <w:rPr>
                <w:rFonts w:ascii="仿宋" w:hAnsi="仿宋" w:cs="宋体"/>
                <w:color w:val="2E75B6" w:themeColor="accent5" w:themeShade="BF"/>
                <w:kern w:val="0"/>
                <w:sz w:val="21"/>
                <w:szCs w:val="21"/>
              </w:rPr>
            </w:pPr>
            <w:r>
              <w:rPr>
                <w:rFonts w:hint="eastAsia" w:ascii="仿宋" w:hAnsi="仿宋" w:cs="宋体"/>
                <w:color w:val="2E75B6" w:themeColor="accent5" w:themeShade="BF"/>
                <w:kern w:val="0"/>
                <w:sz w:val="21"/>
                <w:szCs w:val="21"/>
              </w:rPr>
              <w:t>昆明地铁城市开发有限公司</w:t>
            </w:r>
          </w:p>
        </w:tc>
        <w:tc>
          <w:tcPr>
            <w:tcW w:w="871" w:type="dxa"/>
            <w:shd w:val="clear" w:color="auto" w:fill="DEEAF6" w:themeFill="accent5" w:themeFillTint="33"/>
            <w:noWrap/>
            <w:vAlign w:val="center"/>
          </w:tcPr>
          <w:p w14:paraId="0A37F683">
            <w:pPr>
              <w:widowControl/>
              <w:spacing w:line="240" w:lineRule="auto"/>
              <w:ind w:firstLine="0" w:firstLineChars="0"/>
              <w:jc w:val="center"/>
              <w:rPr>
                <w:rFonts w:ascii="仿宋" w:hAnsi="仿宋" w:cs="Arial"/>
                <w:color w:val="2E75B6" w:themeColor="accent5" w:themeShade="BF"/>
                <w:kern w:val="0"/>
                <w:sz w:val="21"/>
                <w:szCs w:val="21"/>
              </w:rPr>
            </w:pPr>
            <w:r>
              <w:rPr>
                <w:rFonts w:ascii="仿宋" w:hAnsi="仿宋" w:cs="Arial"/>
                <w:color w:val="2E75B6" w:themeColor="accent5" w:themeShade="BF"/>
                <w:kern w:val="0"/>
                <w:sz w:val="21"/>
                <w:szCs w:val="21"/>
              </w:rPr>
              <w:t>06-28</w:t>
            </w:r>
          </w:p>
        </w:tc>
      </w:tr>
      <w:tr w14:paraId="08CD7EB9">
        <w:tblPrEx>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CellMar>
            <w:top w:w="0" w:type="dxa"/>
            <w:left w:w="108" w:type="dxa"/>
            <w:bottom w:w="0" w:type="dxa"/>
            <w:right w:w="108" w:type="dxa"/>
          </w:tblCellMar>
        </w:tblPrEx>
        <w:trPr>
          <w:trHeight w:val="225" w:hRule="atLeast"/>
        </w:trPr>
        <w:tc>
          <w:tcPr>
            <w:tcW w:w="709" w:type="dxa"/>
            <w:noWrap/>
            <w:vAlign w:val="center"/>
          </w:tcPr>
          <w:p w14:paraId="23A11D59">
            <w:pPr>
              <w:widowControl/>
              <w:spacing w:line="240" w:lineRule="auto"/>
              <w:ind w:firstLine="0" w:firstLineChars="0"/>
              <w:jc w:val="center"/>
              <w:rPr>
                <w:rFonts w:ascii="仿宋" w:hAnsi="仿宋" w:cs="宋体"/>
                <w:b w:val="0"/>
                <w:bCs w:val="0"/>
                <w:color w:val="000000"/>
                <w:kern w:val="0"/>
                <w:sz w:val="21"/>
                <w:szCs w:val="21"/>
              </w:rPr>
            </w:pPr>
            <w:r>
              <w:rPr>
                <w:rFonts w:hint="eastAsia" w:ascii="仿宋" w:hAnsi="仿宋" w:cs="宋体"/>
                <w:b w:val="0"/>
                <w:bCs w:val="0"/>
                <w:color w:val="000000"/>
                <w:kern w:val="0"/>
                <w:sz w:val="21"/>
                <w:szCs w:val="21"/>
              </w:rPr>
              <w:t>合计</w:t>
            </w:r>
          </w:p>
        </w:tc>
        <w:tc>
          <w:tcPr>
            <w:tcW w:w="1914" w:type="dxa"/>
            <w:vAlign w:val="center"/>
          </w:tcPr>
          <w:p w14:paraId="76EFAFE0">
            <w:pPr>
              <w:widowControl/>
              <w:spacing w:line="240" w:lineRule="auto"/>
              <w:ind w:firstLine="0" w:firstLineChars="0"/>
              <w:jc w:val="center"/>
              <w:rPr>
                <w:rFonts w:ascii="仿宋" w:hAnsi="仿宋" w:cs="宋体"/>
                <w:color w:val="000000"/>
                <w:kern w:val="0"/>
                <w:sz w:val="21"/>
                <w:szCs w:val="21"/>
              </w:rPr>
            </w:pPr>
          </w:p>
        </w:tc>
        <w:tc>
          <w:tcPr>
            <w:tcW w:w="921" w:type="dxa"/>
            <w:noWrap/>
            <w:vAlign w:val="center"/>
          </w:tcPr>
          <w:p w14:paraId="643B2EB1">
            <w:pPr>
              <w:widowControl/>
              <w:spacing w:line="240" w:lineRule="auto"/>
              <w:ind w:firstLine="0" w:firstLineChars="0"/>
              <w:jc w:val="center"/>
              <w:rPr>
                <w:rFonts w:ascii="仿宋" w:hAnsi="仿宋" w:cs="Times New Roman"/>
                <w:color w:val="2E75B6" w:themeColor="accent5" w:themeShade="BF"/>
                <w:kern w:val="0"/>
                <w:sz w:val="21"/>
                <w:szCs w:val="21"/>
              </w:rPr>
            </w:pPr>
          </w:p>
        </w:tc>
        <w:tc>
          <w:tcPr>
            <w:tcW w:w="851" w:type="dxa"/>
            <w:noWrap/>
            <w:vAlign w:val="center"/>
          </w:tcPr>
          <w:p w14:paraId="4D7B2221">
            <w:pPr>
              <w:widowControl/>
              <w:spacing w:line="240" w:lineRule="auto"/>
              <w:ind w:firstLine="0" w:firstLineChars="0"/>
              <w:jc w:val="center"/>
              <w:rPr>
                <w:rFonts w:ascii="仿宋" w:hAnsi="仿宋" w:cs="宋体"/>
                <w:color w:val="000000"/>
                <w:kern w:val="0"/>
                <w:sz w:val="21"/>
                <w:szCs w:val="21"/>
              </w:rPr>
            </w:pPr>
            <w:r>
              <w:rPr>
                <w:rFonts w:hint="eastAsia" w:ascii="仿宋" w:hAnsi="仿宋" w:cs="宋体"/>
                <w:color w:val="000000"/>
                <w:kern w:val="0"/>
                <w:sz w:val="21"/>
                <w:szCs w:val="21"/>
              </w:rPr>
              <w:t>388217</w:t>
            </w:r>
          </w:p>
        </w:tc>
        <w:tc>
          <w:tcPr>
            <w:tcW w:w="850" w:type="dxa"/>
            <w:noWrap/>
            <w:vAlign w:val="center"/>
          </w:tcPr>
          <w:p w14:paraId="023EEAC0">
            <w:pPr>
              <w:widowControl/>
              <w:spacing w:line="240" w:lineRule="auto"/>
              <w:ind w:firstLine="0" w:firstLineChars="0"/>
              <w:jc w:val="center"/>
              <w:rPr>
                <w:rFonts w:ascii="仿宋" w:hAnsi="仿宋" w:cs="宋体"/>
                <w:color w:val="000000"/>
                <w:kern w:val="0"/>
                <w:sz w:val="21"/>
                <w:szCs w:val="21"/>
              </w:rPr>
            </w:pPr>
            <w:r>
              <w:rPr>
                <w:rFonts w:hint="eastAsia" w:ascii="仿宋" w:hAnsi="仿宋" w:cs="宋体"/>
                <w:color w:val="000000"/>
                <w:kern w:val="0"/>
                <w:sz w:val="21"/>
                <w:szCs w:val="21"/>
              </w:rPr>
              <w:t>442016</w:t>
            </w:r>
          </w:p>
        </w:tc>
        <w:tc>
          <w:tcPr>
            <w:tcW w:w="2410" w:type="dxa"/>
            <w:vAlign w:val="center"/>
          </w:tcPr>
          <w:p w14:paraId="5C81A17A">
            <w:pPr>
              <w:widowControl/>
              <w:spacing w:line="240" w:lineRule="auto"/>
              <w:ind w:firstLine="0" w:firstLineChars="0"/>
              <w:jc w:val="center"/>
              <w:rPr>
                <w:rFonts w:ascii="仿宋" w:hAnsi="仿宋" w:cs="Times New Roman"/>
                <w:color w:val="2E75B6" w:themeColor="accent5" w:themeShade="BF"/>
                <w:kern w:val="0"/>
                <w:sz w:val="21"/>
                <w:szCs w:val="21"/>
              </w:rPr>
            </w:pPr>
          </w:p>
        </w:tc>
        <w:tc>
          <w:tcPr>
            <w:tcW w:w="871" w:type="dxa"/>
            <w:noWrap/>
            <w:vAlign w:val="center"/>
          </w:tcPr>
          <w:p w14:paraId="0A26AD28">
            <w:pPr>
              <w:widowControl/>
              <w:spacing w:line="240" w:lineRule="auto"/>
              <w:ind w:firstLine="0" w:firstLineChars="0"/>
              <w:jc w:val="center"/>
              <w:rPr>
                <w:rFonts w:ascii="仿宋" w:hAnsi="仿宋" w:cs="Times New Roman"/>
                <w:color w:val="2E75B6" w:themeColor="accent5" w:themeShade="BF"/>
                <w:kern w:val="0"/>
                <w:sz w:val="21"/>
                <w:szCs w:val="21"/>
              </w:rPr>
            </w:pPr>
          </w:p>
        </w:tc>
      </w:tr>
    </w:tbl>
    <w:p w14:paraId="6CC7058D">
      <w:pPr>
        <w:widowControl/>
        <w:shd w:val="clear" w:color="auto" w:fill="FFFFFF"/>
        <w:ind w:firstLine="420"/>
        <w:rPr>
          <w:rFonts w:ascii="仿宋" w:hAnsi="仿宋" w:cs="Arial"/>
          <w:color w:val="222222"/>
          <w:sz w:val="21"/>
          <w:szCs w:val="20"/>
          <w:shd w:val="clear" w:color="auto" w:fill="FFFFFF"/>
          <w:lang w:bidi="ar"/>
        </w:rPr>
      </w:pPr>
      <w:r>
        <w:rPr>
          <w:rFonts w:hint="eastAsia" w:ascii="仿宋" w:hAnsi="仿宋" w:cs="Arial"/>
          <w:color w:val="222222"/>
          <w:sz w:val="21"/>
          <w:szCs w:val="20"/>
          <w:shd w:val="clear" w:color="auto" w:fill="FFFFFF"/>
          <w:lang w:bidi="ar"/>
        </w:rPr>
        <w:t>数据来源：C</w:t>
      </w:r>
      <w:r>
        <w:rPr>
          <w:rFonts w:ascii="仿宋" w:hAnsi="仿宋" w:cs="Arial"/>
          <w:color w:val="222222"/>
          <w:sz w:val="21"/>
          <w:szCs w:val="20"/>
          <w:shd w:val="clear" w:color="auto" w:fill="FFFFFF"/>
          <w:lang w:bidi="ar"/>
        </w:rPr>
        <w:t>RIC</w:t>
      </w:r>
      <w:r>
        <w:rPr>
          <w:rFonts w:hint="eastAsia" w:ascii="仿宋" w:hAnsi="仿宋" w:cs="Arial"/>
          <w:color w:val="222222"/>
          <w:sz w:val="21"/>
          <w:szCs w:val="20"/>
          <w:shd w:val="clear" w:color="auto" w:fill="FFFFFF"/>
          <w:lang w:bidi="ar"/>
        </w:rPr>
        <w:t>、易居研究院</w:t>
      </w:r>
    </w:p>
    <w:p w14:paraId="63336AA0">
      <w:pPr>
        <w:pStyle w:val="2"/>
        <w:numPr>
          <w:ilvl w:val="0"/>
          <w:numId w:val="4"/>
        </w:numPr>
        <w:ind w:left="442" w:hanging="442"/>
        <w:rPr>
          <w:rFonts w:ascii="仿宋" w:hAnsi="仿宋"/>
          <w:kern w:val="2"/>
        </w:rPr>
      </w:pPr>
      <w:bookmarkStart w:id="39" w:name="_Toc170978925"/>
      <w:r>
        <w:rPr>
          <w:rFonts w:hint="eastAsia" w:ascii="仿宋" w:hAnsi="仿宋"/>
          <w:kern w:val="2"/>
        </w:rPr>
        <w:t>深铁置业三大社区商业和两大TOD标杆商业联席开售</w:t>
      </w:r>
      <w:bookmarkEnd w:id="39"/>
    </w:p>
    <w:p w14:paraId="468E6327">
      <w:pPr>
        <w:pStyle w:val="14"/>
        <w:spacing w:before="0" w:beforeAutospacing="0" w:after="0" w:afterAutospacing="0" w:line="360" w:lineRule="auto"/>
        <w:ind w:firstLine="480"/>
        <w:jc w:val="both"/>
        <w:rPr>
          <w:rFonts w:ascii="仿宋" w:hAnsi="仿宋" w:eastAsia="仿宋"/>
          <w:kern w:val="2"/>
        </w:rPr>
      </w:pPr>
      <w:r>
        <w:rPr>
          <w:rFonts w:hint="eastAsia" w:ascii="仿宋" w:hAnsi="仿宋" w:eastAsia="仿宋"/>
          <w:kern w:val="2"/>
        </w:rPr>
        <w:t>近日，深铁置业的五大商业项目——深铁阅山境商铺、山海漫街商铺、锦上花园</w:t>
      </w:r>
      <w:r>
        <w:rPr>
          <w:rFonts w:ascii="仿宋" w:hAnsi="仿宋" w:eastAsia="仿宋"/>
          <w:kern w:val="2"/>
        </w:rPr>
        <w:t>2栋商业街铺等三大社区商业，以及汇德大厦商业中心、深铁置业大厦商业两大TOD标杆商业，联席开售</w:t>
      </w:r>
      <w:r>
        <w:rPr>
          <w:rFonts w:hint="eastAsia" w:ascii="仿宋" w:hAnsi="仿宋" w:eastAsia="仿宋"/>
          <w:kern w:val="2"/>
        </w:rPr>
        <w:t>，</w:t>
      </w:r>
      <w:r>
        <w:rPr>
          <w:rFonts w:ascii="仿宋" w:hAnsi="仿宋" w:eastAsia="仿宋"/>
          <w:kern w:val="2"/>
        </w:rPr>
        <w:t>引发市场关注。</w:t>
      </w:r>
      <w:r>
        <w:rPr>
          <w:rFonts w:hint="eastAsia" w:ascii="仿宋" w:hAnsi="仿宋" w:eastAsia="仿宋"/>
          <w:kern w:val="2"/>
        </w:rPr>
        <w:t>其中汇德大厦</w:t>
      </w:r>
      <w:r>
        <w:rPr>
          <w:rFonts w:ascii="仿宋" w:hAnsi="仿宋" w:eastAsia="仿宋"/>
          <w:kern w:val="2"/>
        </w:rPr>
        <w:t>T4商业以约1.3亿元的成交金额售出，</w:t>
      </w:r>
      <w:r>
        <w:rPr>
          <w:rFonts w:hint="eastAsia" w:ascii="仿宋" w:hAnsi="仿宋" w:eastAsia="仿宋"/>
          <w:kern w:val="2"/>
        </w:rPr>
        <w:t>商业中心一期1至4层、商业中心二期5至7层的商铺仍在售中</w:t>
      </w:r>
      <w:r>
        <w:rPr>
          <w:rFonts w:ascii="仿宋" w:hAnsi="仿宋" w:eastAsia="仿宋"/>
          <w:kern w:val="2"/>
        </w:rPr>
        <w:t>。</w:t>
      </w:r>
      <w:r>
        <w:rPr>
          <w:rFonts w:hint="eastAsia" w:ascii="仿宋" w:hAnsi="仿宋" w:eastAsia="仿宋"/>
          <w:kern w:val="2"/>
        </w:rPr>
        <w:t>深铁置业大厦与地铁1、7、9、11号线汇聚的车公庙地铁站接驳，</w:t>
      </w:r>
      <w:r>
        <w:rPr>
          <w:rFonts w:ascii="仿宋" w:hAnsi="仿宋" w:eastAsia="仿宋"/>
          <w:kern w:val="2"/>
        </w:rPr>
        <w:t>本次推出的商业共有四层，总建面超5000平方米。</w:t>
      </w:r>
      <w:r>
        <w:rPr>
          <w:rFonts w:hint="eastAsia" w:ascii="仿宋" w:hAnsi="仿宋" w:eastAsia="仿宋"/>
          <w:kern w:val="2"/>
        </w:rPr>
        <w:t>三大社区商业分别为位于南山的深铁阅山境花园商铺和山海漫街以及龙岗核心区锦上花园商铺，全为现铺销售。其中部分商铺已有租客，为带租约销售。</w:t>
      </w:r>
    </w:p>
    <w:p w14:paraId="6F843622">
      <w:pPr>
        <w:pStyle w:val="2"/>
        <w:numPr>
          <w:ilvl w:val="0"/>
          <w:numId w:val="4"/>
        </w:numPr>
        <w:ind w:left="442" w:hanging="442"/>
        <w:rPr>
          <w:rFonts w:ascii="仿宋" w:hAnsi="仿宋"/>
          <w:kern w:val="2"/>
          <w:szCs w:val="24"/>
        </w:rPr>
      </w:pPr>
      <w:bookmarkStart w:id="40" w:name="_Toc170978926"/>
      <w:r>
        <w:rPr>
          <w:rFonts w:hint="eastAsia" w:ascii="仿宋" w:hAnsi="仿宋"/>
          <w:kern w:val="2"/>
          <w:szCs w:val="24"/>
        </w:rPr>
        <w:t>广州地铁地产举办</w:t>
      </w:r>
      <w:r>
        <w:rPr>
          <w:rFonts w:hint="eastAsia" w:ascii="仿宋" w:hAnsi="仿宋"/>
          <w:shd w:val="clear" w:color="auto" w:fill="FFFFFF"/>
          <w:lang w:bidi="ar"/>
        </w:rPr>
        <w:t>“品牌体验官”</w:t>
      </w:r>
      <w:r>
        <w:rPr>
          <w:rFonts w:hint="eastAsia" w:ascii="仿宋" w:hAnsi="仿宋"/>
          <w:kern w:val="2"/>
          <w:szCs w:val="24"/>
        </w:rPr>
        <w:t>主题活动</w:t>
      </w:r>
      <w:bookmarkEnd w:id="40"/>
    </w:p>
    <w:p w14:paraId="185A76F5">
      <w:pPr>
        <w:pStyle w:val="14"/>
        <w:spacing w:before="0" w:beforeAutospacing="0" w:after="0" w:afterAutospacing="0" w:line="360" w:lineRule="auto"/>
        <w:ind w:firstLine="480"/>
        <w:jc w:val="both"/>
        <w:rPr>
          <w:rFonts w:ascii="仿宋" w:hAnsi="仿宋" w:eastAsia="仿宋"/>
          <w:kern w:val="2"/>
        </w:rPr>
      </w:pPr>
      <w:r>
        <w:rPr>
          <w:rFonts w:ascii="仿宋" w:hAnsi="仿宋" w:eastAsia="仿宋"/>
          <w:kern w:val="2"/>
        </w:rPr>
        <w:t>6月6日-7日，广州地铁地产举办“品牌体验官”主题活动，邀请粤港澳大湾区逾50家媒体代表担任“品牌体验官”，用“地铁+城际”快闪打卡琶洲CBD写字楼、广州地铁地产珑璟台和湾区主要城市，共同体验“轨道都市生活”的安全、准点、便捷与舒适。</w:t>
      </w:r>
      <w:r>
        <w:rPr>
          <w:rFonts w:hint="eastAsia" w:ascii="仿宋" w:hAnsi="仿宋" w:eastAsia="仿宋"/>
          <w:kern w:val="2"/>
        </w:rPr>
        <w:t>近</w:t>
      </w:r>
      <w:r>
        <w:rPr>
          <w:rFonts w:ascii="仿宋" w:hAnsi="仿宋" w:eastAsia="仿宋"/>
          <w:kern w:val="2"/>
        </w:rPr>
        <w:t>日，广东城际“四线”正式贯通运营，全线均由广州地铁集团运营，从购票、班次等安排中实现城际铁路“公交化”运营，开通首周发送旅客高达55万人次。城际“四线”贯通后，通过与广州、东莞、佛山等城市地铁的直通衔接，市民可快速到达各中心城区，感受“用时间换空间”的轨道交通发展红利。</w:t>
      </w:r>
    </w:p>
    <w:p w14:paraId="4075BEA3">
      <w:pPr>
        <w:pStyle w:val="2"/>
        <w:numPr>
          <w:ilvl w:val="0"/>
          <w:numId w:val="4"/>
        </w:numPr>
        <w:ind w:left="442" w:hanging="442"/>
        <w:rPr>
          <w:rFonts w:ascii="仿宋" w:hAnsi="仿宋" w:cs="Arial"/>
          <w:color w:val="222222"/>
          <w:kern w:val="0"/>
          <w:szCs w:val="24"/>
          <w:shd w:val="clear" w:color="auto" w:fill="FFFFFF"/>
          <w:lang w:bidi="ar"/>
        </w:rPr>
      </w:pPr>
      <w:bookmarkStart w:id="41" w:name="_Toc170978927"/>
      <w:r>
        <w:rPr>
          <w:rFonts w:hint="eastAsia" w:ascii="仿宋" w:hAnsi="仿宋" w:cs="Arial"/>
          <w:color w:val="222222"/>
          <w:kern w:val="0"/>
          <w:szCs w:val="24"/>
          <w:shd w:val="clear" w:color="auto" w:fill="FFFFFF"/>
          <w:lang w:bidi="ar"/>
        </w:rPr>
        <w:t>广州地铁与港铁战略</w:t>
      </w:r>
      <w:r>
        <w:rPr>
          <w:rFonts w:hint="eastAsia" w:ascii="仿宋" w:hAnsi="仿宋"/>
          <w:shd w:val="clear" w:color="auto" w:fill="FFFFFF"/>
          <w:lang w:bidi="ar"/>
        </w:rPr>
        <w:t>合作</w:t>
      </w:r>
      <w:r>
        <w:rPr>
          <w:rFonts w:hint="eastAsia" w:ascii="仿宋" w:hAnsi="仿宋" w:cs="Arial"/>
          <w:color w:val="222222"/>
          <w:kern w:val="0"/>
          <w:szCs w:val="24"/>
          <w:shd w:val="clear" w:color="auto" w:fill="FFFFFF"/>
          <w:lang w:bidi="ar"/>
        </w:rPr>
        <w:t>，共促粤港澳大湾区高质量发展</w:t>
      </w:r>
      <w:bookmarkEnd w:id="41"/>
    </w:p>
    <w:p w14:paraId="001F3A2D">
      <w:pPr>
        <w:pStyle w:val="14"/>
        <w:spacing w:before="0" w:beforeAutospacing="0" w:after="0" w:afterAutospacing="0" w:line="360" w:lineRule="auto"/>
        <w:ind w:firstLine="480"/>
        <w:jc w:val="both"/>
        <w:rPr>
          <w:rFonts w:ascii="仿宋" w:hAnsi="仿宋" w:eastAsia="仿宋"/>
          <w:kern w:val="2"/>
        </w:rPr>
      </w:pPr>
      <w:r>
        <w:rPr>
          <w:rFonts w:hint="eastAsia" w:ascii="仿宋" w:hAnsi="仿宋" w:eastAsia="仿宋"/>
          <w:kern w:val="2"/>
        </w:rPr>
        <w:t>近日，广州地铁集团（以下简称“广州地铁”）与香港铁路有限公司（以下简称“港铁公司”）签署战略合作意向协议。双方按照“资源共享、优势互补、互利共赢、共同发展”的原则，充分发挥各自专业优势，在共建粤港澳大湾区，促进粤港澳大湾区高质量发展，深化珠三角城市战略合作以及配合“一带一路”倡议中，充分发挥轨道交通的引领带动作用。此次战略合作协议的签订，有助于推进双方在轨道交通规划设计、工程咨询、标准建设、智慧运维、铁路资产全生命周期管理、TOD开发、资源开发及经营、物流及文旅、数字化转型、人才培养、科研及创新等全方位的深度合作，为轨道上的大湾区发展提速。</w:t>
      </w:r>
    </w:p>
    <w:p w14:paraId="1863AB28">
      <w:pPr>
        <w:pStyle w:val="2"/>
        <w:numPr>
          <w:ilvl w:val="0"/>
          <w:numId w:val="4"/>
        </w:numPr>
        <w:ind w:left="442" w:hanging="442"/>
        <w:rPr>
          <w:rFonts w:ascii="仿宋" w:hAnsi="仿宋"/>
          <w:b w:val="0"/>
          <w:bCs w:val="0"/>
          <w:kern w:val="2"/>
        </w:rPr>
      </w:pPr>
      <w:bookmarkStart w:id="42" w:name="_Toc170978928"/>
      <w:r>
        <w:rPr>
          <w:rFonts w:ascii="仿宋" w:hAnsi="仿宋"/>
          <w:kern w:val="2"/>
        </w:rPr>
        <w:t>金华轨道</w:t>
      </w:r>
      <w:r>
        <w:rPr>
          <w:rFonts w:hint="eastAsia" w:ascii="仿宋" w:hAnsi="仿宋"/>
          <w:kern w:val="2"/>
        </w:rPr>
        <w:t>交通</w:t>
      </w:r>
      <w:r>
        <w:rPr>
          <w:rFonts w:hint="eastAsia" w:ascii="仿宋" w:hAnsi="仿宋"/>
          <w:shd w:val="clear" w:color="auto" w:fill="FFFFFF"/>
          <w:lang w:bidi="ar"/>
        </w:rPr>
        <w:t>置业公司以TOD综合开发重塑城市空间</w:t>
      </w:r>
      <w:bookmarkEnd w:id="42"/>
    </w:p>
    <w:p w14:paraId="42A9CE29">
      <w:pPr>
        <w:pStyle w:val="14"/>
        <w:spacing w:before="0" w:beforeAutospacing="0" w:after="0" w:afterAutospacing="0" w:line="360" w:lineRule="auto"/>
        <w:ind w:firstLine="480"/>
        <w:jc w:val="both"/>
        <w:rPr>
          <w:rFonts w:ascii="仿宋" w:hAnsi="仿宋" w:eastAsia="仿宋"/>
          <w:kern w:val="2"/>
        </w:rPr>
      </w:pPr>
      <w:r>
        <w:rPr>
          <w:rFonts w:ascii="仿宋" w:hAnsi="仿宋" w:eastAsia="仿宋"/>
          <w:kern w:val="2"/>
        </w:rPr>
        <w:t>6月12日，</w:t>
      </w:r>
      <w:r>
        <w:rPr>
          <w:rFonts w:hint="eastAsia" w:ascii="仿宋" w:hAnsi="仿宋" w:eastAsia="仿宋"/>
          <w:kern w:val="2"/>
        </w:rPr>
        <w:t>“</w:t>
      </w:r>
      <w:r>
        <w:rPr>
          <w:rFonts w:ascii="仿宋" w:hAnsi="仿宋" w:eastAsia="仿宋"/>
          <w:kern w:val="2"/>
        </w:rPr>
        <w:t>金华轨道交通</w:t>
      </w:r>
      <w:r>
        <w:rPr>
          <w:rFonts w:hint="eastAsia" w:ascii="仿宋" w:hAnsi="仿宋" w:eastAsia="仿宋"/>
          <w:kern w:val="2"/>
        </w:rPr>
        <w:t>”</w:t>
      </w:r>
      <w:r>
        <w:rPr>
          <w:rFonts w:ascii="仿宋" w:hAnsi="仿宋" w:eastAsia="仿宋"/>
          <w:kern w:val="2"/>
        </w:rPr>
        <w:t>官微发布《【龙行2024】置业公司：以TOD综合开发重塑城市空间》。</w:t>
      </w:r>
      <w:r>
        <w:rPr>
          <w:rFonts w:hint="eastAsia" w:ascii="仿宋" w:hAnsi="仿宋" w:eastAsia="仿宋"/>
          <w:kern w:val="2"/>
        </w:rPr>
        <w:t>文章提到，2022年12月，金华轨道交通置业公司首个综合开发项目悦享湖韵小区正式开盘销售，标志着向TOD综合开发迈出坚实一步。</w:t>
      </w:r>
      <w:r>
        <w:rPr>
          <w:rFonts w:ascii="仿宋" w:hAnsi="仿宋" w:eastAsia="仿宋"/>
          <w:kern w:val="2"/>
        </w:rPr>
        <w:t>目前，置业公司还深入谋划塘雅车辆段上盖物业项目、官塘停车场上盖物业项目、后宅停车场上盖物业项目、秦塘站上盖物业项目等一批轨道交通TOD综合开发项目。</w:t>
      </w:r>
    </w:p>
    <w:p w14:paraId="5C4690D3">
      <w:pPr>
        <w:pStyle w:val="2"/>
        <w:numPr>
          <w:ilvl w:val="0"/>
          <w:numId w:val="4"/>
        </w:numPr>
        <w:ind w:left="442" w:hanging="442"/>
        <w:rPr>
          <w:rFonts w:ascii="仿宋" w:hAnsi="仿宋" w:cs="Arial"/>
          <w:b w:val="0"/>
          <w:bCs w:val="0"/>
          <w:color w:val="222222"/>
          <w:kern w:val="0"/>
          <w:shd w:val="clear" w:color="auto" w:fill="FFFFFF"/>
          <w:lang w:bidi="ar"/>
        </w:rPr>
      </w:pPr>
      <w:bookmarkStart w:id="43" w:name="_Toc170978929"/>
      <w:r>
        <w:rPr>
          <w:rFonts w:hint="eastAsia" w:ascii="仿宋" w:hAnsi="仿宋" w:cs="Arial"/>
          <w:color w:val="222222"/>
          <w:kern w:val="0"/>
          <w:shd w:val="clear" w:color="auto" w:fill="FFFFFF"/>
          <w:lang w:bidi="ar"/>
        </w:rPr>
        <w:t>申通</w:t>
      </w:r>
      <w:r>
        <w:rPr>
          <w:rFonts w:hint="eastAsia" w:ascii="仿宋" w:hAnsi="仿宋"/>
          <w:shd w:val="clear" w:color="auto" w:fill="FFFFFF"/>
          <w:lang w:bidi="ar"/>
        </w:rPr>
        <w:t>地铁集团</w:t>
      </w:r>
      <w:r>
        <w:rPr>
          <w:rFonts w:hint="eastAsia" w:ascii="仿宋" w:hAnsi="仿宋" w:cs="Arial"/>
          <w:color w:val="222222"/>
          <w:kern w:val="0"/>
          <w:shd w:val="clear" w:color="auto" w:fill="FFFFFF"/>
          <w:lang w:bidi="ar"/>
        </w:rPr>
        <w:t>与中国铁路上海局开展工作对接</w:t>
      </w:r>
      <w:bookmarkEnd w:id="43"/>
    </w:p>
    <w:p w14:paraId="10443625">
      <w:pPr>
        <w:pStyle w:val="14"/>
        <w:spacing w:before="0" w:beforeAutospacing="0" w:after="0" w:afterAutospacing="0" w:line="360" w:lineRule="auto"/>
        <w:ind w:firstLine="480"/>
        <w:jc w:val="both"/>
        <w:rPr>
          <w:rFonts w:ascii="仿宋" w:hAnsi="仿宋" w:eastAsia="仿宋"/>
          <w:kern w:val="2"/>
        </w:rPr>
      </w:pPr>
      <w:r>
        <w:rPr>
          <w:rFonts w:hint="eastAsia" w:ascii="仿宋" w:hAnsi="仿宋" w:eastAsia="仿宋"/>
          <w:kern w:val="2"/>
        </w:rPr>
        <w:t>6月13日下午，申通地铁集团党委书记、董事长毕湘利带队，前往铁路上海局开展工作对接。铁路上海局党委书记、董事长狄威，总工程师程若厅，集团公司副总裁于宁、张郁参加交流座谈会。交流座谈中，双方围绕13号线西延伸、20号线、崇明线等新线建设，机场联络线运营配合，以及高质量可持续发展等问题，充分开展沟通交流。</w:t>
      </w:r>
    </w:p>
    <w:p w14:paraId="23DDF353">
      <w:pPr>
        <w:pStyle w:val="2"/>
        <w:numPr>
          <w:ilvl w:val="0"/>
          <w:numId w:val="4"/>
        </w:numPr>
        <w:ind w:left="442" w:hanging="442"/>
        <w:rPr>
          <w:rFonts w:ascii="仿宋" w:hAnsi="仿宋" w:cs="Arial"/>
          <w:color w:val="222222"/>
          <w:kern w:val="0"/>
          <w:szCs w:val="24"/>
          <w:shd w:val="clear" w:color="auto" w:fill="FFFFFF"/>
          <w:lang w:bidi="ar"/>
        </w:rPr>
      </w:pPr>
      <w:bookmarkStart w:id="44" w:name="_Toc170978930"/>
      <w:r>
        <w:rPr>
          <w:rFonts w:hint="eastAsia" w:ascii="仿宋" w:hAnsi="仿宋"/>
          <w:shd w:val="clear" w:color="auto" w:fill="FFFFFF"/>
          <w:lang w:bidi="ar"/>
        </w:rPr>
        <w:t>贵阳交通运营集团</w:t>
      </w:r>
      <w:r>
        <w:rPr>
          <w:rFonts w:hint="eastAsia" w:ascii="仿宋" w:hAnsi="仿宋" w:cs="Arial"/>
          <w:color w:val="222222"/>
          <w:kern w:val="0"/>
          <w:szCs w:val="24"/>
          <w:shd w:val="clear" w:color="auto" w:fill="FFFFFF"/>
          <w:lang w:bidi="ar"/>
        </w:rPr>
        <w:t>与比亚迪开展交流座谈</w:t>
      </w:r>
      <w:bookmarkEnd w:id="44"/>
    </w:p>
    <w:p w14:paraId="01B32DB3">
      <w:pPr>
        <w:pStyle w:val="14"/>
        <w:spacing w:before="0" w:beforeAutospacing="0" w:after="0" w:afterAutospacing="0" w:line="360" w:lineRule="auto"/>
        <w:ind w:firstLine="480"/>
        <w:jc w:val="both"/>
        <w:rPr>
          <w:rFonts w:ascii="仿宋" w:hAnsi="仿宋" w:eastAsia="仿宋"/>
          <w:kern w:val="2"/>
        </w:rPr>
      </w:pPr>
      <w:r>
        <w:rPr>
          <w:rFonts w:hint="eastAsia" w:ascii="仿宋" w:hAnsi="仿宋" w:eastAsia="仿宋"/>
          <w:kern w:val="2"/>
        </w:rPr>
        <w:t>6月14日，贵阳交通运营集团党委副书记、总经理安中发与比亚迪集团副总裁、轨道交通事业部总经理任林一行开展座谈，就加快推进有轨电车T2线一期项目工程建设、运营筹备有关事宜进行深入交流。贵阳公共交通建设管理公司、贵阳比亚迪实业公司分别汇报有轨电车T2线一期项目工作推进情况、存在问题及下步打算，与会人员就工程建设所面临的挑战与难点，以及运营筹备相关事宜展开了交流研讨。</w:t>
      </w:r>
    </w:p>
    <w:p w14:paraId="50BB205D">
      <w:pPr>
        <w:pStyle w:val="2"/>
        <w:numPr>
          <w:ilvl w:val="0"/>
          <w:numId w:val="4"/>
        </w:numPr>
        <w:ind w:left="442" w:hanging="442"/>
        <w:rPr>
          <w:rFonts w:ascii="仿宋" w:hAnsi="仿宋"/>
          <w:b w:val="0"/>
          <w:bCs w:val="0"/>
        </w:rPr>
      </w:pPr>
      <w:bookmarkStart w:id="45" w:name="_Toc170978931"/>
      <w:r>
        <w:rPr>
          <w:rFonts w:ascii="仿宋" w:hAnsi="仿宋"/>
        </w:rPr>
        <w:t>国铁保利公司调研敦白铁路</w:t>
      </w:r>
      <w:r>
        <w:rPr>
          <w:rFonts w:ascii="仿宋" w:hAnsi="仿宋"/>
          <w:shd w:val="clear" w:color="auto" w:fill="FFFFFF"/>
          <w:lang w:bidi="ar"/>
        </w:rPr>
        <w:t>客运专线</w:t>
      </w:r>
      <w:r>
        <w:rPr>
          <w:rFonts w:ascii="仿宋" w:hAnsi="仿宋"/>
        </w:rPr>
        <w:t>土地综合开发项目</w:t>
      </w:r>
      <w:bookmarkEnd w:id="45"/>
    </w:p>
    <w:p w14:paraId="5716D2BC">
      <w:pPr>
        <w:pStyle w:val="14"/>
        <w:spacing w:before="0" w:beforeAutospacing="0" w:after="0" w:afterAutospacing="0" w:line="360" w:lineRule="auto"/>
        <w:ind w:firstLine="480"/>
        <w:jc w:val="both"/>
        <w:rPr>
          <w:rFonts w:ascii="仿宋" w:hAnsi="仿宋" w:eastAsia="仿宋"/>
          <w:kern w:val="2"/>
        </w:rPr>
      </w:pPr>
      <w:r>
        <w:rPr>
          <w:rFonts w:hint="eastAsia" w:ascii="仿宋" w:hAnsi="仿宋" w:eastAsia="仿宋"/>
          <w:kern w:val="2"/>
        </w:rPr>
        <w:t>近日，国铁保利设计院有限公司一行前往长白山管委会二道白河镇，就敦化至白河铁路客运专线土地综合开发项目进行调研。国铁保利公司对该项目进行了实地考察，并与长白山管委会、长吉城际铁路有限公司等单位领导进行了座谈。会上，国铁保利公司总经理郑新明介绍了公司的整体情况以及作为国铁投资集团咨询机构在土地综合开发过程中发挥的作用和取得的成效。长白山管理委员会有关负责人表示将欢迎各方参与前期研究和投资建设，共同推动当地经济的发展。双方达成一致意见，国铁保利公司将充分发挥前端咨询策划经验，与长白山管委会、长吉城际铁路有限公司等相关单位共同合作，推进敦化至白河铁路客运专线土地的综合开发。</w:t>
      </w:r>
    </w:p>
    <w:p w14:paraId="0E924580">
      <w:pPr>
        <w:pStyle w:val="2"/>
        <w:numPr>
          <w:ilvl w:val="0"/>
          <w:numId w:val="4"/>
        </w:numPr>
        <w:ind w:left="442" w:hanging="442"/>
        <w:rPr>
          <w:rFonts w:ascii="仿宋" w:hAnsi="仿宋" w:cs="Arial"/>
          <w:b w:val="0"/>
          <w:bCs w:val="0"/>
          <w:color w:val="222222"/>
          <w:shd w:val="clear" w:color="auto" w:fill="FFFFFF"/>
          <w:lang w:bidi="ar"/>
        </w:rPr>
      </w:pPr>
      <w:bookmarkStart w:id="46" w:name="_Toc170978932"/>
      <w:r>
        <w:rPr>
          <w:rFonts w:hint="eastAsia" w:ascii="仿宋" w:hAnsi="仿宋" w:cs="Arial"/>
          <w:color w:val="222222"/>
          <w:shd w:val="clear" w:color="auto" w:fill="FFFFFF"/>
          <w:lang w:bidi="ar"/>
        </w:rPr>
        <w:t>昆明交投拟进行大规模</w:t>
      </w:r>
      <w:r>
        <w:rPr>
          <w:rFonts w:hint="eastAsia" w:ascii="仿宋" w:hAnsi="仿宋"/>
          <w:kern w:val="2"/>
          <w:szCs w:val="24"/>
        </w:rPr>
        <w:t>资产</w:t>
      </w:r>
      <w:r>
        <w:rPr>
          <w:rFonts w:hint="eastAsia" w:ascii="仿宋" w:hAnsi="仿宋"/>
          <w:shd w:val="clear" w:color="auto" w:fill="FFFFFF"/>
          <w:lang w:bidi="ar"/>
        </w:rPr>
        <w:t>处置</w:t>
      </w:r>
      <w:r>
        <w:rPr>
          <w:rFonts w:hint="eastAsia" w:ascii="仿宋" w:hAnsi="仿宋" w:cs="Arial"/>
          <w:color w:val="222222"/>
          <w:shd w:val="clear" w:color="auto" w:fill="FFFFFF"/>
          <w:lang w:bidi="ar"/>
        </w:rPr>
        <w:t>，枢纽曜城在列</w:t>
      </w:r>
      <w:bookmarkEnd w:id="46"/>
    </w:p>
    <w:p w14:paraId="252BEAE4">
      <w:pPr>
        <w:pStyle w:val="14"/>
        <w:spacing w:before="0" w:beforeAutospacing="0" w:after="0" w:afterAutospacing="0" w:line="360" w:lineRule="auto"/>
        <w:ind w:firstLine="480"/>
        <w:jc w:val="both"/>
        <w:rPr>
          <w:rFonts w:ascii="仿宋" w:hAnsi="仿宋" w:eastAsia="仿宋"/>
          <w:kern w:val="2"/>
        </w:rPr>
      </w:pPr>
      <w:r>
        <w:rPr>
          <w:rFonts w:hint="eastAsia" w:ascii="仿宋" w:hAnsi="仿宋" w:eastAsia="仿宋"/>
          <w:kern w:val="2"/>
        </w:rPr>
        <w:t>6月24日消息，近日，昆明交投发布国有资产推介清单，拟通过出售、出租、合作经营等方式进行大规模资产处置，推介资产分为土地、物业、股权三大类。昆明交投推介的在建物业中总面积达105万平米，其中最引人瞩目的是枢纽曜城项目，该项目总用地面积149亩，规划总建面60.6万平米，而此次推介的物业资产面积约47.35万平米，包含住宅（620套）、商业、办公、酒店和车位。枢纽曜城是昆明交投目前在建规模最大、区位最好的商住综合项目，项目合作方式为住宅出售，商业出租、出售、合作经营。</w:t>
      </w:r>
    </w:p>
    <w:p w14:paraId="06C6F231">
      <w:pPr>
        <w:pStyle w:val="2"/>
        <w:numPr>
          <w:ilvl w:val="0"/>
          <w:numId w:val="4"/>
        </w:numPr>
        <w:ind w:left="442" w:hanging="442"/>
        <w:rPr>
          <w:rFonts w:ascii="仿宋" w:hAnsi="仿宋"/>
          <w:kern w:val="2"/>
          <w:szCs w:val="24"/>
        </w:rPr>
      </w:pPr>
      <w:bookmarkStart w:id="47" w:name="_Toc170978933"/>
      <w:r>
        <w:rPr>
          <w:rFonts w:ascii="仿宋" w:hAnsi="仿宋"/>
          <w:kern w:val="2"/>
          <w:szCs w:val="24"/>
        </w:rPr>
        <w:t>越秀地产股东大会全票</w:t>
      </w:r>
      <w:r>
        <w:rPr>
          <w:rFonts w:ascii="仿宋" w:hAnsi="仿宋"/>
          <w:shd w:val="clear" w:color="auto" w:fill="FFFFFF"/>
          <w:lang w:bidi="ar"/>
        </w:rPr>
        <w:t>通过</w:t>
      </w:r>
      <w:r>
        <w:rPr>
          <w:rFonts w:ascii="仿宋" w:hAnsi="仿宋"/>
          <w:kern w:val="2"/>
          <w:szCs w:val="24"/>
        </w:rPr>
        <w:t>收购广州琶洲南TOD二期20%权益决议</w:t>
      </w:r>
      <w:bookmarkEnd w:id="47"/>
    </w:p>
    <w:p w14:paraId="194605C3">
      <w:pPr>
        <w:pStyle w:val="14"/>
        <w:spacing w:before="0" w:beforeAutospacing="0" w:after="0" w:afterAutospacing="0" w:line="360" w:lineRule="auto"/>
        <w:ind w:firstLine="480"/>
        <w:jc w:val="both"/>
        <w:rPr>
          <w:rFonts w:ascii="仿宋" w:hAnsi="仿宋" w:eastAsia="仿宋"/>
          <w:kern w:val="2"/>
        </w:rPr>
      </w:pPr>
      <w:r>
        <w:rPr>
          <w:rFonts w:ascii="仿宋" w:hAnsi="仿宋" w:eastAsia="仿宋"/>
          <w:kern w:val="2"/>
        </w:rPr>
        <w:t>6月26日，越秀地产股东大会上全票通过了收购琶洲南TOD二期项目20%权益的决议。该项目位于广州市海珠区，紧邻琶洲电商总部，与广州珠江新城、金融城两大CBD隔江相望。琶洲南二期位于广州地铁11号线赤沙车辆段上盖，占地面积166,331平方米，计容总建筑面积419,462平方米，已于2023年12月动工。此次收购交易对应的总代价约为人民币22.3亿元，收购完成后，越秀地产在广州市的TOD项目总建筑面积将增至约389万平方米，优质土地储备增至1,038万平方米。收购将进一步提升越秀地产在琶洲区域的市场地位和品牌优势。</w:t>
      </w:r>
    </w:p>
    <w:p w14:paraId="728CEDC9">
      <w:pPr>
        <w:pStyle w:val="2"/>
        <w:numPr>
          <w:ilvl w:val="0"/>
          <w:numId w:val="4"/>
        </w:numPr>
        <w:ind w:left="442" w:hanging="442"/>
        <w:rPr>
          <w:rFonts w:ascii="仿宋" w:hAnsi="仿宋"/>
          <w:b w:val="0"/>
          <w:bCs w:val="0"/>
          <w:kern w:val="2"/>
        </w:rPr>
      </w:pPr>
      <w:bookmarkStart w:id="48" w:name="_Toc170978934"/>
      <w:r>
        <w:rPr>
          <w:rFonts w:hint="eastAsia" w:ascii="仿宋" w:hAnsi="仿宋"/>
          <w:kern w:val="2"/>
        </w:rPr>
        <w:t>浦东建设全资子公司中标</w:t>
      </w:r>
      <w:r>
        <w:rPr>
          <w:rFonts w:hint="eastAsia" w:ascii="仿宋" w:hAnsi="仿宋"/>
          <w:shd w:val="clear" w:color="auto" w:fill="FFFFFF"/>
          <w:lang w:bidi="ar"/>
        </w:rPr>
        <w:t>上海金桥地铁</w:t>
      </w:r>
      <w:r>
        <w:rPr>
          <w:rFonts w:hint="eastAsia" w:ascii="仿宋" w:hAnsi="仿宋"/>
          <w:kern w:val="2"/>
        </w:rPr>
        <w:t>上盖研发及商业项目</w:t>
      </w:r>
      <w:bookmarkEnd w:id="48"/>
    </w:p>
    <w:p w14:paraId="238B23FF">
      <w:pPr>
        <w:pStyle w:val="14"/>
        <w:spacing w:before="0" w:beforeAutospacing="0" w:after="0" w:afterAutospacing="0" w:line="360" w:lineRule="auto"/>
        <w:ind w:firstLine="480"/>
        <w:jc w:val="both"/>
        <w:rPr>
          <w:rFonts w:ascii="仿宋" w:hAnsi="仿宋" w:eastAsia="仿宋"/>
          <w:kern w:val="2"/>
        </w:rPr>
      </w:pPr>
      <w:r>
        <w:rPr>
          <w:rFonts w:hint="eastAsia" w:ascii="仿宋" w:hAnsi="仿宋" w:eastAsia="仿宋"/>
          <w:kern w:val="2"/>
        </w:rPr>
        <w:t>6月27日消息，浦东建设公告称，其全资子公司上海市浦东新区建设（集团）有限公司近日通过公开招投标方式，中标了金桥地铁上盖J9A-03地块（浦发上城科创智谷）研发及商业项目施工工程。</w:t>
      </w:r>
      <w:r>
        <w:rPr>
          <w:rFonts w:ascii="仿宋" w:hAnsi="仿宋" w:eastAsia="仿宋"/>
          <w:kern w:val="2"/>
        </w:rPr>
        <w:t>该项目的招标人为上海浦发上城企业发展有限公司，是公司控股股东上海浦东发展（集团）有限公司的控股子公司，该交易构成关联交易。根据《上海证券交易所股票上市规则》的有关规定，上述交易可免于按照关联交易的方式审议和披露。</w:t>
      </w:r>
    </w:p>
    <w:p w14:paraId="2098D93A">
      <w:pPr>
        <w:ind w:firstLine="480"/>
        <w:sectPr>
          <w:pgSz w:w="11906" w:h="16838"/>
          <w:pgMar w:top="1440" w:right="1800" w:bottom="1440" w:left="1800" w:header="1474" w:footer="964" w:gutter="0"/>
          <w:cols w:space="425" w:num="1"/>
          <w:docGrid w:type="lines" w:linePitch="326" w:charSpace="0"/>
        </w:sectPr>
      </w:pPr>
    </w:p>
    <w:p w14:paraId="5D05CBF1">
      <w:pPr>
        <w:pStyle w:val="2"/>
        <w:keepLines/>
        <w:widowControl w:val="0"/>
        <w:spacing w:before="163" w:after="163"/>
        <w:ind w:firstLine="562"/>
        <w:jc w:val="center"/>
        <w:rPr>
          <w:rFonts w:ascii="黑体" w:hAnsi="黑体" w:eastAsia="黑体" w:cs="Times New Roman"/>
          <w:color w:val="5B9BD5" w:themeColor="accent5"/>
          <w:kern w:val="44"/>
          <w:sz w:val="28"/>
          <w14:textFill>
            <w14:solidFill>
              <w14:schemeClr w14:val="accent5"/>
            </w14:solidFill>
          </w14:textFill>
        </w:rPr>
      </w:pPr>
      <w:bookmarkStart w:id="49" w:name="_Toc170978935"/>
      <w:r>
        <w:rPr>
          <w:rFonts w:hint="eastAsia" w:ascii="黑体" w:hAnsi="黑体" w:eastAsia="黑体" w:cs="Times New Roman"/>
          <w:color w:val="5B9BD5" w:themeColor="accent5"/>
          <w:kern w:val="44"/>
          <w:sz w:val="28"/>
          <w14:textFill>
            <w14:solidFill>
              <w14:schemeClr w14:val="accent5"/>
            </w14:solidFill>
          </w14:textFill>
        </w:rPr>
        <w:t>四</w:t>
      </w:r>
      <w:r>
        <w:rPr>
          <w:rFonts w:ascii="黑体" w:hAnsi="黑体" w:eastAsia="黑体" w:cs="Times New Roman"/>
          <w:color w:val="5B9BD5" w:themeColor="accent5"/>
          <w:kern w:val="44"/>
          <w:sz w:val="28"/>
          <w14:textFill>
            <w14:solidFill>
              <w14:schemeClr w14:val="accent5"/>
            </w14:solidFill>
          </w14:textFill>
        </w:rPr>
        <w:t>、项目动态</w:t>
      </w:r>
      <w:bookmarkEnd w:id="49"/>
    </w:p>
    <w:p w14:paraId="0A76B3EF">
      <w:pPr>
        <w:pStyle w:val="2"/>
        <w:numPr>
          <w:ilvl w:val="0"/>
          <w:numId w:val="5"/>
        </w:numPr>
        <w:rPr>
          <w:rFonts w:ascii="仿宋" w:hAnsi="仿宋" w:cs="Arial"/>
          <w:b w:val="0"/>
          <w:bCs w:val="0"/>
          <w:color w:val="222222"/>
          <w:shd w:val="clear" w:color="auto" w:fill="FFFFFF"/>
          <w:lang w:bidi="ar"/>
        </w:rPr>
      </w:pPr>
      <w:bookmarkStart w:id="50" w:name="_Toc170978936"/>
      <w:r>
        <w:rPr>
          <w:rFonts w:hint="eastAsia" w:ascii="仿宋" w:hAnsi="仿宋" w:cs="Arial"/>
          <w:color w:val="222222"/>
          <w:shd w:val="clear" w:color="auto" w:fill="FFFFFF"/>
          <w:lang w:bidi="ar"/>
        </w:rPr>
        <w:t>上海万科首个</w:t>
      </w:r>
      <w:r>
        <w:rPr>
          <w:rFonts w:hint="eastAsia" w:ascii="仿宋" w:hAnsi="仿宋"/>
          <w:shd w:val="clear" w:color="auto" w:fill="FFFFFF"/>
          <w:lang w:bidi="ar"/>
        </w:rPr>
        <w:t>POD</w:t>
      </w:r>
      <w:r>
        <w:rPr>
          <w:rFonts w:hint="eastAsia" w:ascii="仿宋" w:hAnsi="仿宋" w:cs="Arial"/>
          <w:color w:val="222222"/>
          <w:shd w:val="clear" w:color="auto" w:fill="FFFFFF"/>
          <w:lang w:bidi="ar"/>
        </w:rPr>
        <w:t>商业正式开业</w:t>
      </w:r>
      <w:bookmarkEnd w:id="50"/>
    </w:p>
    <w:p w14:paraId="06E19F9C">
      <w:pPr>
        <w:pStyle w:val="14"/>
        <w:spacing w:before="0" w:beforeAutospacing="0" w:after="0" w:afterAutospacing="0" w:line="360" w:lineRule="auto"/>
        <w:ind w:firstLine="0" w:firstLineChars="0"/>
        <w:jc w:val="both"/>
        <w:rPr>
          <w:rFonts w:ascii="仿宋" w:hAnsi="仿宋" w:eastAsia="仿宋"/>
          <w:kern w:val="2"/>
        </w:rPr>
      </w:pPr>
      <w:r>
        <w:drawing>
          <wp:anchor distT="0" distB="0" distL="114300" distR="114300" simplePos="0" relativeHeight="251667456" behindDoc="0" locked="0" layoutInCell="1" allowOverlap="1">
            <wp:simplePos x="0" y="0"/>
            <wp:positionH relativeFrom="column">
              <wp:posOffset>0</wp:posOffset>
            </wp:positionH>
            <wp:positionV relativeFrom="paragraph">
              <wp:posOffset>72390</wp:posOffset>
            </wp:positionV>
            <wp:extent cx="2536190" cy="1798320"/>
            <wp:effectExtent l="0" t="0" r="0" b="0"/>
            <wp:wrapSquare wrapText="bothSides"/>
            <wp:docPr id="21052365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236571" name="图片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36190" cy="1798320"/>
                    </a:xfrm>
                    <a:prstGeom prst="rect">
                      <a:avLst/>
                    </a:prstGeom>
                    <a:noFill/>
                    <a:ln>
                      <a:noFill/>
                    </a:ln>
                  </pic:spPr>
                </pic:pic>
              </a:graphicData>
            </a:graphic>
          </wp:anchor>
        </w:drawing>
      </w:r>
      <w:r>
        <w:rPr>
          <w:rFonts w:hint="eastAsia" w:ascii="仿宋" w:hAnsi="仿宋" w:eastAsia="仿宋"/>
          <w:kern w:val="2"/>
        </w:rPr>
        <w:t>6月13日，上海市徐汇万科中心三期商业——徐汇万科广场开业。徐汇万科广场是上海万科TOD开发与运营实践的最新迭代，是探索未来多种复合功能汇集的POD综合体的创新落地。POD，即TOD+PARK，是以便捷交通主导和公园生活主导双重引力的都市生活方式。项目紧邻沪闵高架，与轨道交通1、3、15号线无缝连接，便捷的交通与公园生活理念深度融合，打造“URBAN CARPET城市地毯”。</w:t>
      </w:r>
    </w:p>
    <w:p w14:paraId="3DEBBD52">
      <w:pPr>
        <w:pStyle w:val="2"/>
        <w:numPr>
          <w:ilvl w:val="0"/>
          <w:numId w:val="5"/>
        </w:numPr>
        <w:rPr>
          <w:rFonts w:ascii="仿宋" w:hAnsi="仿宋" w:cs="Arial"/>
          <w:b w:val="0"/>
          <w:bCs w:val="0"/>
          <w:color w:val="222222"/>
          <w:kern w:val="0"/>
          <w:szCs w:val="24"/>
          <w:shd w:val="clear" w:color="auto" w:fill="FFFFFF"/>
          <w:lang w:bidi="ar"/>
        </w:rPr>
      </w:pPr>
      <w:bookmarkStart w:id="51" w:name="_Toc170978937"/>
      <w:r>
        <w:rPr>
          <w:rFonts w:ascii="仿宋" w:hAnsi="仿宋" w:cs="Arial"/>
          <w:color w:val="222222"/>
          <w:kern w:val="0"/>
          <w:szCs w:val="24"/>
          <w:shd w:val="clear" w:color="auto" w:fill="FFFFFF"/>
          <w:lang w:bidi="ar"/>
        </w:rPr>
        <w:t>上海15号线丰翔路站TOD项目设计方案出炉</w:t>
      </w:r>
      <w:bookmarkEnd w:id="51"/>
    </w:p>
    <w:p w14:paraId="03C0BFB5">
      <w:pPr>
        <w:pStyle w:val="14"/>
        <w:spacing w:before="0" w:beforeAutospacing="0" w:after="0" w:afterAutospacing="0" w:line="360" w:lineRule="auto"/>
        <w:ind w:firstLine="0" w:firstLineChars="0"/>
        <w:jc w:val="both"/>
        <w:rPr>
          <w:rFonts w:ascii="仿宋" w:hAnsi="仿宋" w:eastAsia="仿宋"/>
          <w:kern w:val="2"/>
        </w:rPr>
      </w:pPr>
      <w:r>
        <w:drawing>
          <wp:anchor distT="0" distB="0" distL="114300" distR="114300" simplePos="0" relativeHeight="251668480" behindDoc="0" locked="0" layoutInCell="1" allowOverlap="1">
            <wp:simplePos x="0" y="0"/>
            <wp:positionH relativeFrom="column">
              <wp:posOffset>1270</wp:posOffset>
            </wp:positionH>
            <wp:positionV relativeFrom="paragraph">
              <wp:posOffset>74295</wp:posOffset>
            </wp:positionV>
            <wp:extent cx="2536190" cy="1798955"/>
            <wp:effectExtent l="0" t="0" r="0" b="0"/>
            <wp:wrapSquare wrapText="bothSides"/>
            <wp:docPr id="149160898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608986" name="图片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36190" cy="1798955"/>
                    </a:xfrm>
                    <a:prstGeom prst="rect">
                      <a:avLst/>
                    </a:prstGeom>
                    <a:noFill/>
                    <a:ln>
                      <a:noFill/>
                    </a:ln>
                  </pic:spPr>
                </pic:pic>
              </a:graphicData>
            </a:graphic>
          </wp:anchor>
        </w:drawing>
      </w:r>
      <w:r>
        <w:rPr>
          <w:rFonts w:hint="eastAsia" w:ascii="仿宋" w:hAnsi="仿宋" w:eastAsia="仿宋"/>
          <w:kern w:val="2"/>
        </w:rPr>
        <w:t>6月24日，上海宝山区丰翔路地铁站TOD开发项目中的大场镇07-01地块设计方案于近期公布。该地块占地约3.95万平方米，总建筑面积达32万平方米，将建设包括3栋办公楼及1栋万象系商业楼在内的多功能建筑群。其中</w:t>
      </w:r>
      <w:r>
        <w:rPr>
          <w:rFonts w:ascii="仿宋" w:hAnsi="仿宋" w:eastAsia="仿宋"/>
          <w:kern w:val="2"/>
        </w:rPr>
        <w:t>商业体量超12万平方米，定位为上海市地区级商业中心，并将引入品牌旗舰店或宝山区域首店，占比不低于30%。办公区域则聚焦科创企业总部，助力上海科创中心建设。项目整体开发体量超过60万平方米，预计将成为宝山区乃至北上海的全新城市生活目的地。</w:t>
      </w:r>
    </w:p>
    <w:p w14:paraId="7F738674">
      <w:pPr>
        <w:pStyle w:val="2"/>
        <w:numPr>
          <w:ilvl w:val="0"/>
          <w:numId w:val="5"/>
        </w:numPr>
        <w:rPr>
          <w:rFonts w:ascii="仿宋" w:hAnsi="仿宋" w:cs="Arial"/>
          <w:color w:val="222222"/>
          <w:kern w:val="0"/>
          <w:szCs w:val="24"/>
          <w:shd w:val="clear" w:color="auto" w:fill="FFFFFF"/>
          <w:lang w:bidi="ar"/>
        </w:rPr>
      </w:pPr>
      <w:bookmarkStart w:id="52" w:name="_Toc170978938"/>
      <w:r>
        <w:rPr>
          <w:rFonts w:hint="eastAsia" w:ascii="仿宋" w:hAnsi="仿宋" w:cs="Arial"/>
          <w:color w:val="222222"/>
          <w:kern w:val="0"/>
          <w:szCs w:val="24"/>
          <w:shd w:val="clear" w:color="auto" w:fill="FFFFFF"/>
          <w:lang w:bidi="ar"/>
        </w:rPr>
        <w:t>深铁置业TOD未来生活馆获批深圳市科普基地</w:t>
      </w:r>
      <w:bookmarkEnd w:id="52"/>
    </w:p>
    <w:p w14:paraId="258249DD">
      <w:pPr>
        <w:pStyle w:val="14"/>
        <w:spacing w:before="0" w:beforeAutospacing="0" w:after="0" w:afterAutospacing="0" w:line="360" w:lineRule="auto"/>
        <w:ind w:firstLine="0" w:firstLineChars="0"/>
        <w:jc w:val="both"/>
        <w:rPr>
          <w:rFonts w:ascii="仿宋" w:hAnsi="仿宋" w:eastAsia="仿宋"/>
          <w:kern w:val="2"/>
        </w:rPr>
      </w:pPr>
      <w:r>
        <w:rPr>
          <w:rFonts w:hint="eastAsia" w:ascii="仿宋" w:hAnsi="仿宋" w:eastAsia="仿宋"/>
          <w:kern w:val="2"/>
        </w:rPr>
        <w:t>近日，深铁置业</w:t>
      </w:r>
      <w:r>
        <w:rPr>
          <w:rFonts w:ascii="仿宋" w:hAnsi="仿宋" w:eastAsia="仿宋"/>
          <w:kern w:val="2"/>
        </w:rPr>
        <w:t>TOD未来生活馆获批为深圳市科普基地（2024年-2028年）。这也是深圳首个专业TOD主题展厅，位于深铁置业大厦，紧邻四线换乘站——车公庙D出口，全面展示了深圳城市轨道交通系统的建设历程、技术革新及未来</w:t>
      </w:r>
      <w:r>
        <w:drawing>
          <wp:anchor distT="0" distB="0" distL="114300" distR="114300" simplePos="0" relativeHeight="251669504" behindDoc="0" locked="0" layoutInCell="1" allowOverlap="1">
            <wp:simplePos x="0" y="0"/>
            <wp:positionH relativeFrom="column">
              <wp:posOffset>-635</wp:posOffset>
            </wp:positionH>
            <wp:positionV relativeFrom="paragraph">
              <wp:posOffset>0</wp:posOffset>
            </wp:positionV>
            <wp:extent cx="2552065" cy="1798320"/>
            <wp:effectExtent l="0" t="0" r="635" b="0"/>
            <wp:wrapSquare wrapText="bothSides"/>
            <wp:docPr id="11798737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873726"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552368" cy="1798320"/>
                    </a:xfrm>
                    <a:prstGeom prst="rect">
                      <a:avLst/>
                    </a:prstGeom>
                    <a:noFill/>
                    <a:ln>
                      <a:noFill/>
                    </a:ln>
                  </pic:spPr>
                </pic:pic>
              </a:graphicData>
            </a:graphic>
          </wp:anchor>
        </w:drawing>
      </w:r>
      <w:r>
        <w:rPr>
          <w:rFonts w:ascii="仿宋" w:hAnsi="仿宋" w:eastAsia="仿宋"/>
          <w:kern w:val="2"/>
        </w:rPr>
        <w:t>规划蓝图。TOD未来生活馆重点聚焦深圳TOD发展的独特样本，按比例原型复刻深铁前海国际枢纽中心项目静态模型，通过数字化互动体验设计，生动诠释了如何通过规划引领、综合开发手段来破解城市发展中的空间制约问题。结合TOD科普活动，如地铁探秘、走读TOD博物馆等，</w:t>
      </w:r>
      <w:bookmarkStart w:id="53" w:name="_Hlk170920617"/>
      <w:r>
        <w:rPr>
          <w:rFonts w:ascii="仿宋" w:hAnsi="仿宋" w:eastAsia="仿宋"/>
          <w:kern w:val="2"/>
        </w:rPr>
        <w:t>让市民实地体验深铁TOD给城市生活带来</w:t>
      </w:r>
      <w:r>
        <w:rPr>
          <w:rFonts w:hint="eastAsia" w:ascii="仿宋" w:hAnsi="仿宋" w:eastAsia="仿宋"/>
          <w:kern w:val="2"/>
        </w:rPr>
        <w:t>的改变。</w:t>
      </w:r>
      <w:bookmarkEnd w:id="53"/>
    </w:p>
    <w:p w14:paraId="2C15D05F">
      <w:pPr>
        <w:pStyle w:val="2"/>
        <w:numPr>
          <w:ilvl w:val="0"/>
          <w:numId w:val="5"/>
        </w:numPr>
        <w:rPr>
          <w:rFonts w:ascii="仿宋" w:hAnsi="仿宋"/>
          <w:kern w:val="2"/>
          <w:szCs w:val="24"/>
        </w:rPr>
      </w:pPr>
      <w:bookmarkStart w:id="54" w:name="_Toc170978939"/>
      <w:r>
        <w:rPr>
          <w:rFonts w:hint="eastAsia" w:ascii="仿宋" w:hAnsi="仿宋"/>
          <w:kern w:val="2"/>
          <w:szCs w:val="24"/>
        </w:rPr>
        <w:t>广州白云站TOD粤胜广场引进</w:t>
      </w:r>
      <w:r>
        <w:rPr>
          <w:rFonts w:hint="eastAsia" w:ascii="仿宋" w:hAnsi="仿宋" w:cs="Arial"/>
          <w:color w:val="222222"/>
          <w:shd w:val="clear" w:color="auto" w:fill="FFFFFF"/>
          <w:lang w:bidi="ar"/>
        </w:rPr>
        <w:t>洲际</w:t>
      </w:r>
      <w:r>
        <w:rPr>
          <w:rFonts w:hint="eastAsia" w:ascii="仿宋" w:hAnsi="仿宋" w:cs="Arial"/>
          <w:color w:val="222222"/>
          <w:kern w:val="0"/>
          <w:szCs w:val="24"/>
          <w:shd w:val="clear" w:color="auto" w:fill="FFFFFF"/>
          <w:lang w:bidi="ar"/>
        </w:rPr>
        <w:t>酒店</w:t>
      </w:r>
      <w:r>
        <w:rPr>
          <w:rFonts w:hint="eastAsia" w:ascii="仿宋" w:hAnsi="仿宋"/>
          <w:kern w:val="2"/>
          <w:szCs w:val="24"/>
        </w:rPr>
        <w:t>集团旗下逸衡酒店</w:t>
      </w:r>
      <w:bookmarkEnd w:id="54"/>
    </w:p>
    <w:p w14:paraId="5BE7A719">
      <w:pPr>
        <w:pStyle w:val="14"/>
        <w:spacing w:before="0" w:beforeAutospacing="0" w:after="0" w:afterAutospacing="0" w:line="360" w:lineRule="auto"/>
        <w:ind w:firstLine="0" w:firstLineChars="0"/>
        <w:jc w:val="both"/>
        <w:rPr>
          <w:rFonts w:ascii="仿宋" w:hAnsi="仿宋" w:eastAsia="仿宋"/>
          <w:kern w:val="2"/>
        </w:rPr>
      </w:pPr>
      <w:r>
        <w:drawing>
          <wp:anchor distT="0" distB="0" distL="114300" distR="114300" simplePos="0" relativeHeight="251670528" behindDoc="0" locked="0" layoutInCell="1" allowOverlap="1">
            <wp:simplePos x="0" y="0"/>
            <wp:positionH relativeFrom="column">
              <wp:posOffset>635</wp:posOffset>
            </wp:positionH>
            <wp:positionV relativeFrom="paragraph">
              <wp:posOffset>53340</wp:posOffset>
            </wp:positionV>
            <wp:extent cx="2536190" cy="1798955"/>
            <wp:effectExtent l="0" t="0" r="0" b="0"/>
            <wp:wrapSquare wrapText="bothSides"/>
            <wp:docPr id="138751028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510283" name="图片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36466" cy="1798938"/>
                    </a:xfrm>
                    <a:prstGeom prst="rect">
                      <a:avLst/>
                    </a:prstGeom>
                    <a:noFill/>
                    <a:ln>
                      <a:noFill/>
                    </a:ln>
                  </pic:spPr>
                </pic:pic>
              </a:graphicData>
            </a:graphic>
          </wp:anchor>
        </w:drawing>
      </w:r>
      <w:r>
        <w:rPr>
          <w:rFonts w:hint="eastAsia" w:ascii="仿宋" w:hAnsi="仿宋" w:eastAsia="仿宋"/>
          <w:kern w:val="2"/>
        </w:rPr>
        <w:t>6月27日，广州地铁资源经营发展有限公司与洲际酒店集团在粤胜广场西南塔举行了签约仪式，宣布广州白云站逸衡酒店正式进驻白云站TOD粤胜广场。这标志着广州市首家逸衡品牌酒店的诞生，该酒店以引领健康生活方式为价值观，旨在为游客提供美好的差旅体验。此次合作将弥补白云站TOD在商务旅居的配套空白，打造高品质商旅新地标，预计于2024年底开业。广州白云站逸衡酒店位于粤胜广场西北塔4-13层，面积约2万平方米，提供228间客房。</w:t>
      </w:r>
    </w:p>
    <w:p w14:paraId="10D2ED64">
      <w:pPr>
        <w:pStyle w:val="2"/>
        <w:numPr>
          <w:ilvl w:val="0"/>
          <w:numId w:val="5"/>
        </w:numPr>
        <w:rPr>
          <w:rFonts w:ascii="仿宋" w:hAnsi="仿宋"/>
          <w:b w:val="0"/>
          <w:bCs w:val="0"/>
          <w:kern w:val="2"/>
        </w:rPr>
      </w:pPr>
      <w:bookmarkStart w:id="55" w:name="_Toc170978940"/>
      <w:r>
        <w:rPr>
          <w:rFonts w:hint="eastAsia" w:ascii="仿宋" w:hAnsi="仿宋"/>
          <w:kern w:val="2"/>
        </w:rPr>
        <w:t>广州全盛新天地商业综合体近日封顶</w:t>
      </w:r>
      <w:bookmarkEnd w:id="55"/>
    </w:p>
    <w:p w14:paraId="06E9BDDE">
      <w:pPr>
        <w:pStyle w:val="14"/>
        <w:spacing w:before="0" w:beforeAutospacing="0" w:after="0" w:afterAutospacing="0" w:line="360" w:lineRule="auto"/>
        <w:ind w:firstLine="0" w:firstLineChars="0"/>
        <w:jc w:val="both"/>
        <w:rPr>
          <w:rFonts w:ascii="仿宋" w:hAnsi="仿宋" w:eastAsia="仿宋"/>
          <w:kern w:val="2"/>
        </w:rPr>
      </w:pPr>
      <w:r>
        <w:rPr>
          <w:rFonts w:ascii="仿宋" w:hAnsi="仿宋" w:eastAsia="仿宋"/>
        </w:rPr>
        <w:drawing>
          <wp:anchor distT="0" distB="0" distL="114300" distR="114300" simplePos="0" relativeHeight="251671552" behindDoc="0" locked="0" layoutInCell="1" allowOverlap="1">
            <wp:simplePos x="0" y="0"/>
            <wp:positionH relativeFrom="column">
              <wp:posOffset>3810</wp:posOffset>
            </wp:positionH>
            <wp:positionV relativeFrom="paragraph">
              <wp:posOffset>40005</wp:posOffset>
            </wp:positionV>
            <wp:extent cx="2533650" cy="1838325"/>
            <wp:effectExtent l="0" t="0" r="0" b="9525"/>
            <wp:wrapSquare wrapText="bothSides"/>
            <wp:docPr id="183910849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108499" name="图片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533650" cy="1838325"/>
                    </a:xfrm>
                    <a:prstGeom prst="rect">
                      <a:avLst/>
                    </a:prstGeom>
                    <a:noFill/>
                  </pic:spPr>
                </pic:pic>
              </a:graphicData>
            </a:graphic>
          </wp:anchor>
        </w:drawing>
      </w:r>
      <w:r>
        <w:rPr>
          <w:rFonts w:hint="eastAsia" w:ascii="仿宋" w:hAnsi="仿宋" w:eastAsia="仿宋"/>
          <w:kern w:val="2"/>
        </w:rPr>
        <w:t>定位为“商业艺术公园 元气活力青年场”的高端新型商业综合体-广州全盛新天地商业综合体近日封顶，进入开业倒计时。该项目位于广州科学城核心区域萝岗地铁站上盖，致力于成为大湾区商业文化新地标。该项目负一层直通广州地铁6号线、7号线换乘站——萝岗地铁站，将打造一个向上、热烈、鲜活、充满想象力的年轻能量场。首层在东、南、西侧共设3处出入口，与宝能广州国际体育演艺中心相接，将用音乐、时尚打造一个艺术与文化的心灵栖息地。三层的连廊步道直达市民广场，将打造一个人与艺术、自然融合的全新商业区域。</w:t>
      </w:r>
    </w:p>
    <w:p w14:paraId="6F7B44D3">
      <w:pPr>
        <w:pStyle w:val="2"/>
        <w:numPr>
          <w:ilvl w:val="0"/>
          <w:numId w:val="5"/>
        </w:numPr>
        <w:rPr>
          <w:rFonts w:ascii="仿宋" w:hAnsi="仿宋"/>
          <w:kern w:val="2"/>
          <w:szCs w:val="24"/>
        </w:rPr>
      </w:pPr>
      <w:bookmarkStart w:id="56" w:name="_Toc170978941"/>
      <w:r>
        <w:rPr>
          <w:rFonts w:hint="eastAsia" w:ascii="仿宋" w:hAnsi="仿宋"/>
          <w:kern w:val="2"/>
          <w:szCs w:val="24"/>
        </w:rPr>
        <w:t>昆明市</w:t>
      </w:r>
      <w:r>
        <w:rPr>
          <w:rFonts w:ascii="仿宋" w:hAnsi="仿宋"/>
          <w:kern w:val="2"/>
        </w:rPr>
        <w:t>世博车辆段配售型</w:t>
      </w:r>
      <w:r>
        <w:rPr>
          <w:rFonts w:ascii="仿宋" w:hAnsi="仿宋" w:cs="Arial"/>
          <w:color w:val="222222"/>
          <w:shd w:val="clear" w:color="auto" w:fill="FFFFFF"/>
          <w:lang w:bidi="ar"/>
        </w:rPr>
        <w:t>保障</w:t>
      </w:r>
      <w:r>
        <w:rPr>
          <w:rFonts w:ascii="仿宋" w:hAnsi="仿宋"/>
          <w:kern w:val="2"/>
        </w:rPr>
        <w:t>性住房项目已计划开工</w:t>
      </w:r>
      <w:bookmarkEnd w:id="56"/>
    </w:p>
    <w:p w14:paraId="698760FA">
      <w:pPr>
        <w:pStyle w:val="14"/>
        <w:spacing w:before="0" w:beforeAutospacing="0" w:after="0" w:afterAutospacing="0" w:line="360" w:lineRule="auto"/>
        <w:ind w:firstLine="0" w:firstLineChars="0"/>
        <w:jc w:val="both"/>
        <w:rPr>
          <w:rFonts w:ascii="仿宋" w:hAnsi="仿宋" w:eastAsia="仿宋"/>
          <w:kern w:val="2"/>
        </w:rPr>
      </w:pPr>
      <w:r>
        <w:rPr>
          <w:rFonts w:ascii="仿宋" w:hAnsi="仿宋" w:eastAsia="仿宋"/>
          <w:kern w:val="2"/>
        </w:rPr>
        <w:drawing>
          <wp:anchor distT="0" distB="0" distL="114300" distR="114300" simplePos="0" relativeHeight="251672576" behindDoc="0" locked="0" layoutInCell="1" allowOverlap="1">
            <wp:simplePos x="0" y="0"/>
            <wp:positionH relativeFrom="column">
              <wp:posOffset>-3175</wp:posOffset>
            </wp:positionH>
            <wp:positionV relativeFrom="paragraph">
              <wp:posOffset>106045</wp:posOffset>
            </wp:positionV>
            <wp:extent cx="2536190" cy="1799590"/>
            <wp:effectExtent l="0" t="0" r="0" b="0"/>
            <wp:wrapSquare wrapText="bothSides"/>
            <wp:docPr id="959876142" name="图片 4" descr="1719451237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876142" name="图片 4" descr="171945123795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36466" cy="1799288"/>
                    </a:xfrm>
                    <a:prstGeom prst="rect">
                      <a:avLst/>
                    </a:prstGeom>
                    <a:noFill/>
                    <a:ln>
                      <a:noFill/>
                    </a:ln>
                  </pic:spPr>
                </pic:pic>
              </a:graphicData>
            </a:graphic>
          </wp:anchor>
        </w:drawing>
      </w:r>
      <w:r>
        <w:rPr>
          <w:rFonts w:hint="eastAsia" w:ascii="仿宋" w:hAnsi="仿宋" w:eastAsia="仿宋"/>
          <w:kern w:val="2"/>
        </w:rPr>
        <w:t>昆明市</w:t>
      </w:r>
      <w:r>
        <w:rPr>
          <w:rFonts w:ascii="仿宋" w:hAnsi="仿宋" w:eastAsia="仿宋"/>
          <w:kern w:val="2"/>
        </w:rPr>
        <w:t>世博车辆段配售型保障性住房项目已计划开工，该项目即为世博车辆段上盖开发TOD项目，住宅开发部分用地面积15.22万平方米，容积率2.23，总层数为18至27层。项目盖上部分为配售型保障性住房区，盖下一层为小区配套停车库，盖下二层为5号线车辆段，盖下三层、四层为社区商业。</w:t>
      </w:r>
      <w:r>
        <w:rPr>
          <w:rFonts w:hint="eastAsia" w:ascii="仿宋" w:hAnsi="仿宋" w:eastAsia="仿宋"/>
          <w:kern w:val="2"/>
        </w:rPr>
        <w:t>世博上盖TOD项目盖上部分面积233.51亩，分为A1和A2两个地块，其中A1地块为面积227.6亩的住宅用地，也就是配售房用地，按容积率2.23计算，总建面33.94万方；另外还有A2地块5.91亩的商业用地。</w:t>
      </w:r>
    </w:p>
    <w:p w14:paraId="6A366EAF">
      <w:pPr>
        <w:pStyle w:val="2"/>
        <w:numPr>
          <w:ilvl w:val="0"/>
          <w:numId w:val="5"/>
        </w:numPr>
        <w:rPr>
          <w:rFonts w:ascii="仿宋" w:hAnsi="仿宋" w:cs="Arial"/>
          <w:b w:val="0"/>
          <w:bCs w:val="0"/>
          <w:color w:val="222222"/>
          <w:kern w:val="0"/>
          <w:szCs w:val="24"/>
          <w:shd w:val="clear" w:color="auto" w:fill="FFFFFF"/>
          <w:lang w:bidi="ar"/>
        </w:rPr>
      </w:pPr>
      <w:bookmarkStart w:id="57" w:name="_Toc170978942"/>
      <w:r>
        <w:rPr>
          <w:rFonts w:hint="eastAsia" w:ascii="仿宋" w:hAnsi="仿宋" w:cs="Arial"/>
          <w:color w:val="222222"/>
          <w:kern w:val="0"/>
          <w:szCs w:val="24"/>
          <w:shd w:val="clear" w:color="auto" w:fill="FFFFFF"/>
          <w:lang w:bidi="ar"/>
        </w:rPr>
        <w:t>杭州钱塘高铁枢纽暨新城建设推进会在杭州钱塘区召开</w:t>
      </w:r>
      <w:bookmarkEnd w:id="57"/>
    </w:p>
    <w:p w14:paraId="4541128E">
      <w:pPr>
        <w:pStyle w:val="14"/>
        <w:spacing w:before="0" w:beforeAutospacing="0" w:after="0" w:afterAutospacing="0" w:line="360" w:lineRule="auto"/>
        <w:ind w:firstLine="0" w:firstLineChars="0"/>
        <w:jc w:val="both"/>
        <w:rPr>
          <w:rFonts w:ascii="仿宋" w:hAnsi="仿宋" w:eastAsia="仿宋"/>
          <w:kern w:val="2"/>
        </w:rPr>
      </w:pPr>
      <w:r>
        <w:rPr>
          <w:rFonts w:ascii="仿宋" w:hAnsi="仿宋"/>
        </w:rPr>
        <w:drawing>
          <wp:anchor distT="0" distB="0" distL="114300" distR="114300" simplePos="0" relativeHeight="251673600" behindDoc="0" locked="0" layoutInCell="1" allowOverlap="1">
            <wp:simplePos x="0" y="0"/>
            <wp:positionH relativeFrom="column">
              <wp:posOffset>-635</wp:posOffset>
            </wp:positionH>
            <wp:positionV relativeFrom="paragraph">
              <wp:posOffset>82550</wp:posOffset>
            </wp:positionV>
            <wp:extent cx="2561590" cy="1809750"/>
            <wp:effectExtent l="0" t="0" r="0" b="0"/>
            <wp:wrapSquare wrapText="bothSides"/>
            <wp:docPr id="126899740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997405" name="图片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561590" cy="1809750"/>
                    </a:xfrm>
                    <a:prstGeom prst="rect">
                      <a:avLst/>
                    </a:prstGeom>
                    <a:noFill/>
                  </pic:spPr>
                </pic:pic>
              </a:graphicData>
            </a:graphic>
          </wp:anchor>
        </w:drawing>
      </w:r>
      <w:r>
        <w:rPr>
          <w:rFonts w:hint="eastAsia" w:ascii="仿宋" w:hAnsi="仿宋" w:eastAsia="仿宋"/>
        </w:rPr>
        <w:t>6月5日，钱塘高铁枢纽暨高铁新城建设现场推进会在杭州机场高铁钱塘站项目现场召开。</w:t>
      </w:r>
      <w:r>
        <w:rPr>
          <w:rFonts w:hint="eastAsia" w:ascii="仿宋" w:hAnsi="仿宋" w:eastAsia="仿宋"/>
          <w:kern w:val="2"/>
        </w:rPr>
        <w:t>钱塘高铁枢纽是杭州机场高铁线上一个重要站点，建成后10分钟可到达杭州萧山国际机场，北向跨江连通嘉兴、苏州、上海等地，南下可连接绍兴、台州、金华方向，未来通过地铁19号线延伸段与杭州东站、杭州西站连成一线，成为城市东部的重要门户。在建筑规模上，铁路站房工程28万平方米，塔楼及铁路上盖综合开发8万平方米，站西城区综合体约64万平方米。</w:t>
      </w:r>
    </w:p>
    <w:p w14:paraId="3848D9A1">
      <w:pPr>
        <w:pStyle w:val="2"/>
        <w:numPr>
          <w:ilvl w:val="0"/>
          <w:numId w:val="5"/>
        </w:numPr>
        <w:rPr>
          <w:rFonts w:ascii="仿宋" w:hAnsi="仿宋"/>
          <w:b w:val="0"/>
          <w:bCs w:val="0"/>
          <w:szCs w:val="24"/>
        </w:rPr>
      </w:pPr>
      <w:bookmarkStart w:id="58" w:name="_Toc170978943"/>
      <w:r>
        <w:rPr>
          <w:rFonts w:hint="eastAsia" w:ascii="仿宋" w:hAnsi="仿宋"/>
          <w:szCs w:val="24"/>
        </w:rPr>
        <w:t>温州市</w:t>
      </w:r>
      <w:r>
        <w:rPr>
          <w:rFonts w:ascii="仿宋" w:hAnsi="仿宋"/>
          <w:szCs w:val="24"/>
        </w:rPr>
        <w:t>乐清首个</w:t>
      </w:r>
      <w:r>
        <w:rPr>
          <w:rFonts w:ascii="仿宋" w:hAnsi="仿宋"/>
          <w:kern w:val="2"/>
          <w:szCs w:val="24"/>
        </w:rPr>
        <w:t>TOD</w:t>
      </w:r>
      <w:r>
        <w:rPr>
          <w:rFonts w:ascii="仿宋" w:hAnsi="仿宋"/>
          <w:szCs w:val="24"/>
        </w:rPr>
        <w:t>轻轨</w:t>
      </w:r>
      <w:r>
        <w:rPr>
          <w:rFonts w:ascii="仿宋" w:hAnsi="仿宋" w:cs="Arial"/>
          <w:color w:val="222222"/>
          <w:shd w:val="clear" w:color="auto" w:fill="FFFFFF"/>
          <w:lang w:bidi="ar"/>
        </w:rPr>
        <w:t>商业</w:t>
      </w:r>
      <w:r>
        <w:rPr>
          <w:rFonts w:ascii="仿宋" w:hAnsi="仿宋"/>
          <w:szCs w:val="24"/>
        </w:rPr>
        <w:t>体亮相</w:t>
      </w:r>
      <w:bookmarkEnd w:id="58"/>
    </w:p>
    <w:p w14:paraId="33B7CABE">
      <w:pPr>
        <w:pStyle w:val="14"/>
        <w:spacing w:before="0" w:beforeAutospacing="0" w:after="0" w:afterAutospacing="0" w:line="360" w:lineRule="auto"/>
        <w:ind w:firstLine="0" w:firstLineChars="0"/>
        <w:jc w:val="both"/>
        <w:rPr>
          <w:rFonts w:ascii="仿宋" w:hAnsi="仿宋" w:eastAsia="仿宋"/>
          <w:kern w:val="2"/>
        </w:rPr>
      </w:pPr>
      <w:r>
        <w:drawing>
          <wp:anchor distT="0" distB="0" distL="114300" distR="114300" simplePos="0" relativeHeight="251674624" behindDoc="0" locked="0" layoutInCell="1" allowOverlap="1">
            <wp:simplePos x="0" y="0"/>
            <wp:positionH relativeFrom="column">
              <wp:posOffset>635</wp:posOffset>
            </wp:positionH>
            <wp:positionV relativeFrom="paragraph">
              <wp:posOffset>51435</wp:posOffset>
            </wp:positionV>
            <wp:extent cx="2552065" cy="1798955"/>
            <wp:effectExtent l="0" t="0" r="635" b="0"/>
            <wp:wrapSquare wrapText="bothSides"/>
            <wp:docPr id="754597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978" name="图片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52369" cy="1799230"/>
                    </a:xfrm>
                    <a:prstGeom prst="rect">
                      <a:avLst/>
                    </a:prstGeom>
                    <a:noFill/>
                    <a:ln>
                      <a:noFill/>
                    </a:ln>
                  </pic:spPr>
                </pic:pic>
              </a:graphicData>
            </a:graphic>
          </wp:anchor>
        </w:drawing>
      </w:r>
      <w:r>
        <w:rPr>
          <w:rFonts w:hint="eastAsia" w:ascii="仿宋" w:hAnsi="仿宋" w:eastAsia="仿宋"/>
          <w:kern w:val="2"/>
        </w:rPr>
        <w:t>6月15日，乐清中金汇正式开门迎客。开业两天来，乐清中金汇迎来近10万客流量，销售额近400万元，消费者群体除了乐清本地人，不乏从温州市区、瑞安乘坐S2前来消费的市民。</w:t>
      </w:r>
      <w:r>
        <w:rPr>
          <w:rFonts w:ascii="仿宋" w:hAnsi="仿宋" w:eastAsia="仿宋"/>
          <w:kern w:val="2"/>
        </w:rPr>
        <w:t>中金汇位于旭阳路与千帆东路交汇处，与轨道交通S2线旭阳路站直接相连，</w:t>
      </w:r>
      <w:r>
        <w:rPr>
          <w:rFonts w:hint="eastAsia" w:ascii="仿宋" w:hAnsi="仿宋" w:eastAsia="仿宋"/>
          <w:kern w:val="2"/>
        </w:rPr>
        <w:t>是乐清首个TOD轻轨商业体，汇聚130余个潮流品牌，涵盖餐饮美食、亲子培训、休闲娱乐、生活配套以及夜经济等多元业态，其中乐清首店占比超30%。</w:t>
      </w:r>
    </w:p>
    <w:p w14:paraId="50C2F0C7">
      <w:pPr>
        <w:pStyle w:val="2"/>
        <w:numPr>
          <w:ilvl w:val="0"/>
          <w:numId w:val="5"/>
        </w:numPr>
        <w:rPr>
          <w:rFonts w:ascii="仿宋" w:hAnsi="仿宋"/>
          <w:b w:val="0"/>
          <w:bCs w:val="0"/>
          <w:kern w:val="2"/>
        </w:rPr>
      </w:pPr>
      <w:bookmarkStart w:id="59" w:name="_Toc170978944"/>
      <w:r>
        <w:rPr>
          <w:rFonts w:hint="eastAsia" w:ascii="仿宋" w:hAnsi="仿宋"/>
          <w:kern w:val="2"/>
        </w:rPr>
        <w:t>西安高新区TOD</w:t>
      </w:r>
      <w:r>
        <w:rPr>
          <w:rFonts w:hint="eastAsia" w:ascii="仿宋" w:hAnsi="仿宋"/>
          <w:kern w:val="2"/>
          <w:szCs w:val="24"/>
        </w:rPr>
        <w:t>项目</w:t>
      </w:r>
      <w:r>
        <w:rPr>
          <w:rFonts w:hint="eastAsia" w:ascii="仿宋" w:hAnsi="仿宋" w:cs="Arial"/>
          <w:color w:val="222222"/>
          <w:shd w:val="clear" w:color="auto" w:fill="FFFFFF"/>
          <w:lang w:bidi="ar"/>
        </w:rPr>
        <w:t>进入</w:t>
      </w:r>
      <w:r>
        <w:rPr>
          <w:rFonts w:hint="eastAsia" w:ascii="仿宋" w:hAnsi="仿宋"/>
          <w:kern w:val="2"/>
        </w:rPr>
        <w:t>实体示范区施工阶段</w:t>
      </w:r>
      <w:bookmarkEnd w:id="59"/>
    </w:p>
    <w:p w14:paraId="011F983B">
      <w:pPr>
        <w:pStyle w:val="14"/>
        <w:spacing w:before="0" w:beforeAutospacing="0" w:after="0" w:afterAutospacing="0" w:line="360" w:lineRule="auto"/>
        <w:ind w:firstLine="0" w:firstLineChars="0"/>
        <w:jc w:val="both"/>
        <w:rPr>
          <w:rFonts w:ascii="仿宋" w:hAnsi="仿宋" w:eastAsia="仿宋"/>
          <w:kern w:val="2"/>
        </w:rPr>
      </w:pPr>
      <w:r>
        <w:drawing>
          <wp:anchor distT="0" distB="0" distL="114300" distR="114300" simplePos="0" relativeHeight="251666432" behindDoc="0" locked="0" layoutInCell="1" allowOverlap="1">
            <wp:simplePos x="0" y="0"/>
            <wp:positionH relativeFrom="column">
              <wp:posOffset>0</wp:posOffset>
            </wp:positionH>
            <wp:positionV relativeFrom="paragraph">
              <wp:posOffset>85725</wp:posOffset>
            </wp:positionV>
            <wp:extent cx="2520315" cy="1798320"/>
            <wp:effectExtent l="0" t="0" r="0" b="0"/>
            <wp:wrapSquare wrapText="bothSides"/>
            <wp:docPr id="83496817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968172" name="图片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520315" cy="1798320"/>
                    </a:xfrm>
                    <a:prstGeom prst="rect">
                      <a:avLst/>
                    </a:prstGeom>
                    <a:noFill/>
                    <a:ln>
                      <a:noFill/>
                    </a:ln>
                  </pic:spPr>
                </pic:pic>
              </a:graphicData>
            </a:graphic>
          </wp:anchor>
        </w:drawing>
      </w:r>
      <w:r>
        <w:rPr>
          <w:rFonts w:hint="eastAsia" w:ascii="仿宋" w:hAnsi="仿宋" w:eastAsia="仿宋"/>
          <w:kern w:val="2"/>
        </w:rPr>
        <w:t>在西安市高新区科技西路与云水四路交汇处，TOD项目“中建·轨交·山海境项目”已进入实体示范区施工阶段。该项目位于西安地铁3号线、地铁12号线(规划中)、高新云巴接轨处，是多条交通站点中心枢纽。项目通过对附近轨道站点进行开发建设,构建起“15分钟社区生活圈”。项目在建设过程中，进行了诸多关键技术攻关，如通过采取振源轨道减振、建筑自身隔音等措施，为社区生活环境降噪提供技术支撑。项目将以西安TOD项目标杆的新名片为定位，与海绵城市、光储直柔、压步系统、装配式装修等现代绿色建筑科技相结合，将“微缩城市”的体验感注入项目高品质建造，引领西安TOD生活新模式。</w:t>
      </w:r>
    </w:p>
    <w:p w14:paraId="420298AF">
      <w:pPr>
        <w:pStyle w:val="2"/>
        <w:numPr>
          <w:ilvl w:val="0"/>
          <w:numId w:val="5"/>
        </w:numPr>
        <w:rPr>
          <w:rFonts w:ascii="仿宋" w:hAnsi="仿宋"/>
          <w:b w:val="0"/>
          <w:bCs w:val="0"/>
          <w:kern w:val="2"/>
        </w:rPr>
      </w:pPr>
      <w:bookmarkStart w:id="60" w:name="_Toc170978945"/>
      <w:r>
        <w:rPr>
          <w:rFonts w:hint="eastAsia" w:ascii="仿宋" w:hAnsi="仿宋"/>
          <w:kern w:val="2"/>
        </w:rPr>
        <w:t>南昌大悦城综合体启动，定位“</w:t>
      </w:r>
      <w:r>
        <w:rPr>
          <w:rFonts w:hint="eastAsia" w:ascii="仿宋" w:hAnsi="仿宋" w:cs="Arial"/>
          <w:color w:val="222222"/>
          <w:shd w:val="clear" w:color="auto" w:fill="FFFFFF"/>
          <w:lang w:bidi="ar"/>
        </w:rPr>
        <w:t>城市</w:t>
      </w:r>
      <w:r>
        <w:rPr>
          <w:rFonts w:hint="eastAsia" w:ascii="仿宋" w:hAnsi="仿宋"/>
          <w:kern w:val="2"/>
        </w:rPr>
        <w:t>沸腾青年主场”</w:t>
      </w:r>
      <w:bookmarkEnd w:id="60"/>
    </w:p>
    <w:p w14:paraId="108FF7B7">
      <w:pPr>
        <w:pStyle w:val="14"/>
        <w:spacing w:before="0" w:beforeAutospacing="0" w:after="0" w:afterAutospacing="0" w:line="360" w:lineRule="auto"/>
        <w:ind w:firstLine="0" w:firstLineChars="0"/>
        <w:jc w:val="both"/>
        <w:rPr>
          <w:rFonts w:ascii="仿宋" w:hAnsi="仿宋" w:eastAsia="仿宋"/>
          <w:kern w:val="2"/>
        </w:rPr>
      </w:pPr>
      <w:r>
        <w:rPr>
          <w:rFonts w:hint="eastAsia" w:ascii="仿宋" w:hAnsi="仿宋" w:eastAsia="仿宋"/>
          <w:kern w:val="2"/>
        </w:rPr>
        <w:t>6月25日，南昌大悦城综合体发布会在江西省南昌市举行，标志着该项目全面启动。南昌大悦城综合体位于地铁4号线观洲站上盖，以“宝藏之舟、云帆朝阳”为设计理念，汇集住宅、甲级写字楼、大型商业等配套资源，打造五位一</w:t>
      </w:r>
      <w:r>
        <w:drawing>
          <wp:anchor distT="0" distB="0" distL="114300" distR="114300" simplePos="0" relativeHeight="251675648" behindDoc="0" locked="0" layoutInCell="1" allowOverlap="1">
            <wp:simplePos x="0" y="0"/>
            <wp:positionH relativeFrom="column">
              <wp:posOffset>-6985</wp:posOffset>
            </wp:positionH>
            <wp:positionV relativeFrom="paragraph">
              <wp:posOffset>90805</wp:posOffset>
            </wp:positionV>
            <wp:extent cx="2520315" cy="1798955"/>
            <wp:effectExtent l="0" t="0" r="0" b="0"/>
            <wp:wrapSquare wrapText="bothSides"/>
            <wp:docPr id="1826882981" name="图片 3" descr="南昌大悦城综合体效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882981" name="图片 3" descr="南昌大悦城综合体效果图"/>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20564" cy="1798955"/>
                    </a:xfrm>
                    <a:prstGeom prst="rect">
                      <a:avLst/>
                    </a:prstGeom>
                    <a:noFill/>
                    <a:ln>
                      <a:noFill/>
                    </a:ln>
                  </pic:spPr>
                </pic:pic>
              </a:graphicData>
            </a:graphic>
          </wp:anchor>
        </w:drawing>
      </w:r>
      <w:r>
        <w:rPr>
          <w:rFonts w:hint="eastAsia" w:ascii="仿宋" w:hAnsi="仿宋" w:eastAsia="仿宋"/>
          <w:kern w:val="2"/>
        </w:rPr>
        <w:t>体TOD垂直城市首作。商业体定位“城市沸腾青年主场”，聚焦“潮领、潮购、潮聚、潮享、潮玩”五大商业产品亮点，预计入驻300+品牌，打造城市新潮品牌首发地、时尚尖端生活场、主题娱乐空间等一系列潮流主场。大悦城控股华东大区商管团队将负责项目的管理运营。</w:t>
      </w:r>
    </w:p>
    <w:p w14:paraId="3A236B75">
      <w:pPr>
        <w:pStyle w:val="14"/>
        <w:shd w:val="clear" w:color="auto" w:fill="FFFFFF"/>
        <w:spacing w:before="0" w:beforeAutospacing="0" w:after="0" w:afterAutospacing="0" w:line="360" w:lineRule="auto"/>
        <w:ind w:firstLine="482"/>
        <w:jc w:val="center"/>
        <w:rPr>
          <w:rFonts w:ascii="仿宋" w:hAnsi="仿宋" w:eastAsia="仿宋"/>
          <w:b/>
          <w:bCs/>
          <w:kern w:val="2"/>
        </w:rPr>
      </w:pPr>
    </w:p>
    <w:p w14:paraId="701ED50B">
      <w:pPr>
        <w:pStyle w:val="14"/>
        <w:shd w:val="clear" w:color="auto" w:fill="FFFFFF"/>
        <w:spacing w:before="0" w:beforeAutospacing="0" w:after="240" w:afterAutospacing="0" w:line="384" w:lineRule="atLeast"/>
        <w:ind w:firstLine="560"/>
        <w:jc w:val="both"/>
        <w:rPr>
          <w:kern w:val="2"/>
          <w:sz w:val="28"/>
          <w:szCs w:val="36"/>
        </w:rPr>
      </w:pPr>
    </w:p>
    <w:p w14:paraId="424682B4">
      <w:pPr>
        <w:ind w:firstLine="480"/>
      </w:pPr>
    </w:p>
    <w:p w14:paraId="746BAF84">
      <w:pPr>
        <w:ind w:firstLine="199" w:firstLineChars="83"/>
        <w:rPr>
          <w:rFonts w:ascii="仿宋" w:hAnsi="仿宋" w:cs="宋体"/>
          <w:szCs w:val="24"/>
        </w:rPr>
      </w:pPr>
    </w:p>
    <w:p w14:paraId="1ED25AAD">
      <w:pPr>
        <w:ind w:firstLine="480"/>
        <w:jc w:val="center"/>
        <w:rPr>
          <w:rFonts w:ascii="仿宋" w:hAnsi="仿宋"/>
          <w:szCs w:val="24"/>
        </w:rPr>
      </w:pPr>
    </w:p>
    <w:p w14:paraId="0A6C9E84">
      <w:pPr>
        <w:pStyle w:val="38"/>
        <w:ind w:firstLine="482"/>
        <w:jc w:val="center"/>
        <w:rPr>
          <w:b/>
          <w:bCs/>
          <w:shd w:val="clear" w:color="auto" w:fill="FFFFFF"/>
          <w:lang w:bidi="ar"/>
        </w:rPr>
      </w:pPr>
    </w:p>
    <w:p w14:paraId="5C3C84F4">
      <w:pPr>
        <w:ind w:firstLine="480"/>
        <w:rPr>
          <w:rFonts w:ascii="仿宋" w:hAnsi="仿宋"/>
          <w:szCs w:val="36"/>
        </w:rPr>
        <w:sectPr>
          <w:pgSz w:w="11906" w:h="16838"/>
          <w:pgMar w:top="1440" w:right="1800" w:bottom="1440" w:left="1800" w:header="1474" w:footer="964" w:gutter="0"/>
          <w:cols w:space="425" w:num="1"/>
          <w:docGrid w:type="lines" w:linePitch="326" w:charSpace="0"/>
        </w:sectPr>
      </w:pPr>
    </w:p>
    <w:p w14:paraId="492103A8">
      <w:pPr>
        <w:ind w:firstLine="480"/>
        <w:rPr>
          <w:rFonts w:ascii="仿宋" w:hAnsi="仿宋"/>
          <w:szCs w:val="36"/>
        </w:rPr>
      </w:pPr>
      <w:r>
        <w:rPr>
          <w:rFonts w:hint="eastAsia" w:ascii="仿宋" w:hAnsi="仿宋"/>
          <w:szCs w:val="28"/>
        </w:rPr>
        <w:drawing>
          <wp:anchor distT="0" distB="0" distL="114300" distR="114300" simplePos="0" relativeHeight="251663360" behindDoc="1" locked="0" layoutInCell="1" allowOverlap="1">
            <wp:simplePos x="0" y="0"/>
            <wp:positionH relativeFrom="margin">
              <wp:align>center</wp:align>
            </wp:positionH>
            <wp:positionV relativeFrom="paragraph">
              <wp:posOffset>-901700</wp:posOffset>
            </wp:positionV>
            <wp:extent cx="7542530" cy="10664825"/>
            <wp:effectExtent l="0" t="0" r="1270" b="3175"/>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42627" cy="10664867"/>
                    </a:xfrm>
                    <a:prstGeom prst="rect">
                      <a:avLst/>
                    </a:prstGeom>
                  </pic:spPr>
                </pic:pic>
              </a:graphicData>
            </a:graphic>
          </wp:anchor>
        </w:drawing>
      </w:r>
    </w:p>
    <w:p w14:paraId="2707E75A">
      <w:pPr>
        <w:ind w:firstLine="480"/>
        <w:rPr>
          <w:rFonts w:ascii="仿宋" w:hAnsi="仿宋"/>
          <w:szCs w:val="36"/>
        </w:rPr>
      </w:pPr>
    </w:p>
    <w:p w14:paraId="62E4CC8B">
      <w:pPr>
        <w:ind w:firstLine="480"/>
        <w:rPr>
          <w:rFonts w:ascii="仿宋" w:hAnsi="仿宋"/>
          <w:szCs w:val="28"/>
        </w:rPr>
      </w:pPr>
      <w:r>
        <mc:AlternateContent>
          <mc:Choice Requires="wps">
            <w:drawing>
              <wp:anchor distT="45720" distB="45720" distL="114300" distR="114300" simplePos="0" relativeHeight="251664384" behindDoc="0" locked="0" layoutInCell="1" allowOverlap="1">
                <wp:simplePos x="0" y="0"/>
                <wp:positionH relativeFrom="column">
                  <wp:posOffset>1531620</wp:posOffset>
                </wp:positionH>
                <wp:positionV relativeFrom="paragraph">
                  <wp:posOffset>855980</wp:posOffset>
                </wp:positionV>
                <wp:extent cx="2106295" cy="1280160"/>
                <wp:effectExtent l="0" t="0" r="0" b="0"/>
                <wp:wrapSquare wrapText="bothSides"/>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106295" cy="1280160"/>
                        </a:xfrm>
                        <a:prstGeom prst="rect">
                          <a:avLst/>
                        </a:prstGeom>
                        <a:noFill/>
                        <a:ln w="9525">
                          <a:noFill/>
                          <a:miter lim="800000"/>
                        </a:ln>
                      </wps:spPr>
                      <wps:txbx>
                        <w:txbxContent>
                          <w:p w14:paraId="4AE4B21F">
                            <w:pPr>
                              <w:ind w:firstLine="480"/>
                              <w:jc w:val="center"/>
                              <w:rPr>
                                <w:rFonts w:ascii="微软雅黑" w:hAnsi="微软雅黑" w:eastAsia="微软雅黑"/>
                                <w:color w:val="FFFFFF" w:themeColor="background1"/>
                                <w:szCs w:val="28"/>
                                <w14:textFill>
                                  <w14:solidFill>
                                    <w14:schemeClr w14:val="bg1"/>
                                  </w14:solidFill>
                                </w14:textFill>
                              </w:rPr>
                            </w:pPr>
                            <w:r>
                              <w:rPr>
                                <w:rFonts w:hint="eastAsia" w:ascii="微软雅黑" w:hAnsi="微软雅黑" w:eastAsia="微软雅黑"/>
                                <w:color w:val="FFFFFF" w:themeColor="background1"/>
                                <w:szCs w:val="28"/>
                                <w14:textFill>
                                  <w14:solidFill>
                                    <w14:schemeClr w14:val="bg1"/>
                                  </w14:solidFill>
                                </w14:textFill>
                              </w:rPr>
                              <w:t>执笔人</w:t>
                            </w:r>
                          </w:p>
                          <w:p w14:paraId="42922115">
                            <w:pPr>
                              <w:ind w:firstLine="480"/>
                              <w:jc w:val="center"/>
                              <w:rPr>
                                <w:rFonts w:ascii="微软雅黑" w:hAnsi="微软雅黑" w:eastAsia="微软雅黑"/>
                                <w:color w:val="FFFFFF" w:themeColor="background1"/>
                                <w:szCs w:val="28"/>
                                <w14:textFill>
                                  <w14:solidFill>
                                    <w14:schemeClr w14:val="bg1"/>
                                  </w14:solidFill>
                                </w14:textFill>
                              </w:rPr>
                            </w:pPr>
                            <w:r>
                              <w:rPr>
                                <w:rFonts w:hint="eastAsia" w:ascii="微软雅黑" w:hAnsi="微软雅黑" w:eastAsia="微软雅黑"/>
                                <w:color w:val="FFFFFF" w:themeColor="background1"/>
                                <w:szCs w:val="28"/>
                                <w14:textFill>
                                  <w14:solidFill>
                                    <w14:schemeClr w14:val="bg1"/>
                                  </w14:solidFill>
                                </w14:textFill>
                              </w:rPr>
                              <w:t>高鹏、宁佳琪、姚腊</w:t>
                            </w:r>
                          </w:p>
                          <w:p w14:paraId="62182671">
                            <w:pPr>
                              <w:ind w:firstLine="480"/>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6" o:spid="_x0000_s1026" o:spt="202" type="#_x0000_t202" style="position:absolute;left:0pt;margin-left:120.6pt;margin-top:67.4pt;height:100.8pt;width:165.85pt;mso-wrap-distance-bottom:3.6pt;mso-wrap-distance-left:9pt;mso-wrap-distance-right:9pt;mso-wrap-distance-top:3.6pt;z-index:251664384;mso-width-relative:margin;mso-height-relative:margin;mso-width-percent:400;mso-height-percent:200;" filled="f" stroked="f" coordsize="21600,21600" o:gfxdata="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i6187YAAAACwEAAA8AAAAAAAAAAQAgAAAAIgAAAGRycy9kb3ducmV2LnhtbFBLAQIUABQAAAAI&#10;AIdO4kAzxNFtJgIAACoEAAAOAAAAAAAAAAEAIAAAACcBAABkcnMvZTJvRG9jLnhtbFBLBQYAAAAA&#10;BgAGAFkBAAC/BQAAAAA=&#10;">
                <v:fill on="f" focussize="0,0"/>
                <v:stroke on="f" miterlimit="8" joinstyle="miter"/>
                <v:imagedata o:title=""/>
                <o:lock v:ext="edit" aspectratio="f"/>
                <v:textbox style="mso-fit-shape-to-text:t;">
                  <w:txbxContent>
                    <w:p w14:paraId="4AE4B21F">
                      <w:pPr>
                        <w:ind w:firstLine="480"/>
                        <w:jc w:val="center"/>
                        <w:rPr>
                          <w:rFonts w:ascii="微软雅黑" w:hAnsi="微软雅黑" w:eastAsia="微软雅黑"/>
                          <w:color w:val="FFFFFF" w:themeColor="background1"/>
                          <w:szCs w:val="28"/>
                          <w14:textFill>
                            <w14:solidFill>
                              <w14:schemeClr w14:val="bg1"/>
                            </w14:solidFill>
                          </w14:textFill>
                        </w:rPr>
                      </w:pPr>
                      <w:r>
                        <w:rPr>
                          <w:rFonts w:hint="eastAsia" w:ascii="微软雅黑" w:hAnsi="微软雅黑" w:eastAsia="微软雅黑"/>
                          <w:color w:val="FFFFFF" w:themeColor="background1"/>
                          <w:szCs w:val="28"/>
                          <w14:textFill>
                            <w14:solidFill>
                              <w14:schemeClr w14:val="bg1"/>
                            </w14:solidFill>
                          </w14:textFill>
                        </w:rPr>
                        <w:t>执笔人</w:t>
                      </w:r>
                    </w:p>
                    <w:p w14:paraId="42922115">
                      <w:pPr>
                        <w:ind w:firstLine="480"/>
                        <w:jc w:val="center"/>
                        <w:rPr>
                          <w:rFonts w:ascii="微软雅黑" w:hAnsi="微软雅黑" w:eastAsia="微软雅黑"/>
                          <w:color w:val="FFFFFF" w:themeColor="background1"/>
                          <w:szCs w:val="28"/>
                          <w14:textFill>
                            <w14:solidFill>
                              <w14:schemeClr w14:val="bg1"/>
                            </w14:solidFill>
                          </w14:textFill>
                        </w:rPr>
                      </w:pPr>
                      <w:r>
                        <w:rPr>
                          <w:rFonts w:hint="eastAsia" w:ascii="微软雅黑" w:hAnsi="微软雅黑" w:eastAsia="微软雅黑"/>
                          <w:color w:val="FFFFFF" w:themeColor="background1"/>
                          <w:szCs w:val="28"/>
                          <w14:textFill>
                            <w14:solidFill>
                              <w14:schemeClr w14:val="bg1"/>
                            </w14:solidFill>
                          </w14:textFill>
                        </w:rPr>
                        <w:t>高鹏、宁佳琪、姚腊</w:t>
                      </w:r>
                    </w:p>
                    <w:p w14:paraId="62182671">
                      <w:pPr>
                        <w:ind w:firstLine="480"/>
                      </w:pPr>
                    </w:p>
                  </w:txbxContent>
                </v:textbox>
                <w10:wrap type="square"/>
              </v:shape>
            </w:pict>
          </mc:Fallback>
        </mc:AlternateConten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10458022"/>
      <w:docPartObj>
        <w:docPartGallery w:val="AutoText"/>
      </w:docPartObj>
    </w:sdtPr>
    <w:sdtContent>
      <w:p w14:paraId="5CB8950F">
        <w:pPr>
          <w:pStyle w:val="10"/>
          <w:ind w:firstLine="360"/>
          <w:jc w:val="center"/>
        </w:pPr>
        <w:r>
          <w:fldChar w:fldCharType="begin"/>
        </w:r>
        <w:r>
          <w:instrText xml:space="preserve">PAGE   \* MERGEFORMAT</w:instrText>
        </w:r>
        <w:r>
          <w:fldChar w:fldCharType="separate"/>
        </w:r>
        <w:r>
          <w:rPr>
            <w:lang w:val="zh-CN"/>
          </w:rPr>
          <w:t>2</w:t>
        </w:r>
        <w:r>
          <w:fldChar w:fldCharType="end"/>
        </w:r>
      </w:p>
    </w:sdtContent>
  </w:sdt>
  <w:p w14:paraId="2810E90F">
    <w:pPr>
      <w:pStyle w:val="1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AE71D">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9645C">
    <w:pPr>
      <w:pStyle w:val="1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06754">
    <w:pPr>
      <w:pStyle w:val="11"/>
      <w:pBdr>
        <w:bottom w:val="none" w:color="auto" w:sz="0" w:space="0"/>
      </w:pBdr>
      <w:ind w:firstLine="480"/>
    </w:pPr>
    <w:r>
      <w:rPr>
        <w:rFonts w:hint="eastAsia" w:ascii="仿宋" w:hAnsi="仿宋"/>
        <w:sz w:val="24"/>
        <w:szCs w:val="36"/>
      </w:rPr>
      <w:drawing>
        <wp:anchor distT="0" distB="0" distL="114300" distR="114300" simplePos="0" relativeHeight="251660288" behindDoc="1" locked="0" layoutInCell="1" allowOverlap="1">
          <wp:simplePos x="0" y="0"/>
          <wp:positionH relativeFrom="column">
            <wp:posOffset>-1130300</wp:posOffset>
          </wp:positionH>
          <wp:positionV relativeFrom="paragraph">
            <wp:posOffset>-1130935</wp:posOffset>
          </wp:positionV>
          <wp:extent cx="7565390" cy="1170305"/>
          <wp:effectExtent l="0" t="0" r="0" b="0"/>
          <wp:wrapNone/>
          <wp:docPr id="1750251588" name="图片 175025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51588" name="图片 175025158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5456" cy="1170432"/>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D5B50">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DEC6D">
    <w:pPr>
      <w:pStyle w:val="11"/>
      <w:pBdr>
        <w:bottom w:val="none" w:color="auto" w:sz="0" w:space="0"/>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30D6C0">
    <w:pPr>
      <w:pStyle w:val="11"/>
      <w:pBdr>
        <w:bottom w:val="none" w:color="auto" w:sz="0" w:space="0"/>
      </w:pBdr>
      <w:ind w:firstLine="0" w:firstLineChars="0"/>
      <w:jc w:val="both"/>
    </w:pPr>
    <w:r>
      <w:rPr>
        <w:rFonts w:hint="eastAsia" w:ascii="仿宋" w:hAnsi="仿宋"/>
        <w:sz w:val="24"/>
        <w:szCs w:val="36"/>
      </w:rPr>
      <w:drawing>
        <wp:anchor distT="0" distB="0" distL="114300" distR="114300" simplePos="0" relativeHeight="251662336" behindDoc="1" locked="0" layoutInCell="1" allowOverlap="1">
          <wp:simplePos x="0" y="0"/>
          <wp:positionH relativeFrom="column">
            <wp:posOffset>-1130300</wp:posOffset>
          </wp:positionH>
          <wp:positionV relativeFrom="paragraph">
            <wp:posOffset>-1130935</wp:posOffset>
          </wp:positionV>
          <wp:extent cx="7565390" cy="1170305"/>
          <wp:effectExtent l="0" t="0" r="0" b="0"/>
          <wp:wrapNone/>
          <wp:docPr id="588971889" name="图片 58897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71889" name="图片 58897188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5456" cy="1170432"/>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BF6C3">
    <w:pPr>
      <w:pStyle w:val="11"/>
      <w:pBdr>
        <w:bottom w:val="none" w:color="auto" w:sz="0" w:space="0"/>
      </w:pBdr>
      <w:ind w:firstLine="0" w:firstLineChars="0"/>
      <w:jc w:val="both"/>
    </w:pPr>
    <w:r>
      <w:rPr>
        <w:rFonts w:hint="eastAsia" w:ascii="仿宋" w:hAnsi="仿宋"/>
        <w:sz w:val="24"/>
        <w:szCs w:val="36"/>
      </w:rPr>
      <w:drawing>
        <wp:anchor distT="0" distB="0" distL="114300" distR="114300" simplePos="0" relativeHeight="251661312" behindDoc="1" locked="0" layoutInCell="1" allowOverlap="1">
          <wp:simplePos x="0" y="0"/>
          <wp:positionH relativeFrom="column">
            <wp:posOffset>-1130300</wp:posOffset>
          </wp:positionH>
          <wp:positionV relativeFrom="paragraph">
            <wp:posOffset>-1130935</wp:posOffset>
          </wp:positionV>
          <wp:extent cx="7565390" cy="1170305"/>
          <wp:effectExtent l="0" t="0" r="0" b="0"/>
          <wp:wrapNone/>
          <wp:docPr id="1392304166" name="图片 139230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304166" name="图片 139230416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5456" cy="117043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FB49F6"/>
    <w:multiLevelType w:val="multilevel"/>
    <w:tmpl w:val="07FB49F6"/>
    <w:lvl w:ilvl="0" w:tentative="0">
      <w:start w:val="1"/>
      <w:numFmt w:val="decimal"/>
      <w:lvlText w:val="%1."/>
      <w:lvlJc w:val="left"/>
      <w:pPr>
        <w:ind w:left="440" w:hanging="440"/>
      </w:pPr>
      <w:rPr>
        <w:b/>
        <w:bCs/>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2CFD346D"/>
    <w:multiLevelType w:val="multilevel"/>
    <w:tmpl w:val="2CFD346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34BE28D2"/>
    <w:multiLevelType w:val="multilevel"/>
    <w:tmpl w:val="34BE28D2"/>
    <w:lvl w:ilvl="0" w:tentative="0">
      <w:start w:val="1"/>
      <w:numFmt w:val="decimal"/>
      <w:lvlText w:val="%1."/>
      <w:lvlJc w:val="left"/>
      <w:pPr>
        <w:ind w:left="440" w:hanging="440"/>
      </w:pPr>
      <w:rPr>
        <w:b/>
        <w:bCs/>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70135F72"/>
    <w:multiLevelType w:val="multilevel"/>
    <w:tmpl w:val="70135F72"/>
    <w:lvl w:ilvl="0" w:tentative="0">
      <w:start w:val="1"/>
      <w:numFmt w:val="decimal"/>
      <w:lvlText w:val="%1."/>
      <w:lvlJc w:val="left"/>
      <w:pPr>
        <w:ind w:left="440" w:hanging="440"/>
      </w:pPr>
      <w:rPr>
        <w:b/>
        <w:bCs/>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79DE1F6F"/>
    <w:multiLevelType w:val="multilevel"/>
    <w:tmpl w:val="79DE1F6F"/>
    <w:lvl w:ilvl="0" w:tentative="0">
      <w:start w:val="1"/>
      <w:numFmt w:val="decimal"/>
      <w:lvlText w:val="%1."/>
      <w:lvlJc w:val="left"/>
      <w:pPr>
        <w:ind w:left="440" w:hanging="440"/>
      </w:pPr>
      <w:rPr>
        <w:b/>
        <w:bCs/>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HorizontalSpacing w:val="120"/>
  <w:drawingGridVerticalSpacing w:val="163"/>
  <w:displayHorizontalDrawingGridEvery w:val="2"/>
  <w:displayVerticalDrawingGridEvery w:val="2"/>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C47"/>
    <w:rsid w:val="00000211"/>
    <w:rsid w:val="00001568"/>
    <w:rsid w:val="00003C2D"/>
    <w:rsid w:val="00004B22"/>
    <w:rsid w:val="00007B7E"/>
    <w:rsid w:val="000105CE"/>
    <w:rsid w:val="00010AAC"/>
    <w:rsid w:val="000179F5"/>
    <w:rsid w:val="00020170"/>
    <w:rsid w:val="00020A19"/>
    <w:rsid w:val="00020B19"/>
    <w:rsid w:val="0002155E"/>
    <w:rsid w:val="00023A7E"/>
    <w:rsid w:val="0002641E"/>
    <w:rsid w:val="00030514"/>
    <w:rsid w:val="000316B5"/>
    <w:rsid w:val="00032EF8"/>
    <w:rsid w:val="000369C6"/>
    <w:rsid w:val="000427BE"/>
    <w:rsid w:val="0004280B"/>
    <w:rsid w:val="00045767"/>
    <w:rsid w:val="00045A8D"/>
    <w:rsid w:val="00046852"/>
    <w:rsid w:val="00050D93"/>
    <w:rsid w:val="000524B4"/>
    <w:rsid w:val="000538A1"/>
    <w:rsid w:val="00055E97"/>
    <w:rsid w:val="00056742"/>
    <w:rsid w:val="00056B5A"/>
    <w:rsid w:val="00056DA1"/>
    <w:rsid w:val="00057A4A"/>
    <w:rsid w:val="00061B91"/>
    <w:rsid w:val="0006310C"/>
    <w:rsid w:val="000669D2"/>
    <w:rsid w:val="00081D97"/>
    <w:rsid w:val="00082B29"/>
    <w:rsid w:val="00083A19"/>
    <w:rsid w:val="00086765"/>
    <w:rsid w:val="00087FE4"/>
    <w:rsid w:val="000914A2"/>
    <w:rsid w:val="00091F60"/>
    <w:rsid w:val="00093D0D"/>
    <w:rsid w:val="00093EE1"/>
    <w:rsid w:val="00094049"/>
    <w:rsid w:val="0009499A"/>
    <w:rsid w:val="000A047E"/>
    <w:rsid w:val="000A2D6E"/>
    <w:rsid w:val="000A75E6"/>
    <w:rsid w:val="000B3882"/>
    <w:rsid w:val="000B496D"/>
    <w:rsid w:val="000B4FD2"/>
    <w:rsid w:val="000B6379"/>
    <w:rsid w:val="000C0EEA"/>
    <w:rsid w:val="000C362F"/>
    <w:rsid w:val="000C3CB1"/>
    <w:rsid w:val="000C51DD"/>
    <w:rsid w:val="000C5E30"/>
    <w:rsid w:val="000C5E75"/>
    <w:rsid w:val="000C5F7A"/>
    <w:rsid w:val="000C5FD7"/>
    <w:rsid w:val="000D1385"/>
    <w:rsid w:val="000D3D83"/>
    <w:rsid w:val="000D5176"/>
    <w:rsid w:val="000E36D6"/>
    <w:rsid w:val="000F1676"/>
    <w:rsid w:val="001033B2"/>
    <w:rsid w:val="00103BF8"/>
    <w:rsid w:val="00103E77"/>
    <w:rsid w:val="001043E4"/>
    <w:rsid w:val="00106410"/>
    <w:rsid w:val="00107286"/>
    <w:rsid w:val="00107304"/>
    <w:rsid w:val="001131BA"/>
    <w:rsid w:val="00113380"/>
    <w:rsid w:val="00116136"/>
    <w:rsid w:val="00123F59"/>
    <w:rsid w:val="00124FB2"/>
    <w:rsid w:val="00126B7C"/>
    <w:rsid w:val="0012710F"/>
    <w:rsid w:val="00132F9D"/>
    <w:rsid w:val="00134FAD"/>
    <w:rsid w:val="00141DC7"/>
    <w:rsid w:val="00141E1E"/>
    <w:rsid w:val="00142817"/>
    <w:rsid w:val="0014422F"/>
    <w:rsid w:val="00145315"/>
    <w:rsid w:val="00145DE7"/>
    <w:rsid w:val="00146C3F"/>
    <w:rsid w:val="001505DE"/>
    <w:rsid w:val="00150B2A"/>
    <w:rsid w:val="00152E8F"/>
    <w:rsid w:val="00152F3F"/>
    <w:rsid w:val="00153066"/>
    <w:rsid w:val="00153CF3"/>
    <w:rsid w:val="00154120"/>
    <w:rsid w:val="0015538D"/>
    <w:rsid w:val="00156EFD"/>
    <w:rsid w:val="00160642"/>
    <w:rsid w:val="00161ED1"/>
    <w:rsid w:val="001621A8"/>
    <w:rsid w:val="0016383E"/>
    <w:rsid w:val="00163882"/>
    <w:rsid w:val="001649C1"/>
    <w:rsid w:val="001650F2"/>
    <w:rsid w:val="00165B1D"/>
    <w:rsid w:val="00167173"/>
    <w:rsid w:val="001718B5"/>
    <w:rsid w:val="00171ABF"/>
    <w:rsid w:val="00172080"/>
    <w:rsid w:val="00172726"/>
    <w:rsid w:val="00175AC8"/>
    <w:rsid w:val="00175F6C"/>
    <w:rsid w:val="001778D0"/>
    <w:rsid w:val="00177C22"/>
    <w:rsid w:val="0018279E"/>
    <w:rsid w:val="00185906"/>
    <w:rsid w:val="00186342"/>
    <w:rsid w:val="001868C6"/>
    <w:rsid w:val="00186950"/>
    <w:rsid w:val="0018796D"/>
    <w:rsid w:val="00190296"/>
    <w:rsid w:val="00191D87"/>
    <w:rsid w:val="00192D2D"/>
    <w:rsid w:val="001933EA"/>
    <w:rsid w:val="0019690B"/>
    <w:rsid w:val="001A40BD"/>
    <w:rsid w:val="001A57AA"/>
    <w:rsid w:val="001B093C"/>
    <w:rsid w:val="001B1248"/>
    <w:rsid w:val="001B1CCB"/>
    <w:rsid w:val="001B3A5A"/>
    <w:rsid w:val="001B3B2E"/>
    <w:rsid w:val="001B45D4"/>
    <w:rsid w:val="001C107B"/>
    <w:rsid w:val="001C356E"/>
    <w:rsid w:val="001C49E7"/>
    <w:rsid w:val="001C4EB5"/>
    <w:rsid w:val="001C7EDF"/>
    <w:rsid w:val="001D00A6"/>
    <w:rsid w:val="001D18DF"/>
    <w:rsid w:val="001D216E"/>
    <w:rsid w:val="001D24BB"/>
    <w:rsid w:val="001D2A30"/>
    <w:rsid w:val="001D2C8C"/>
    <w:rsid w:val="001D32C1"/>
    <w:rsid w:val="001D3587"/>
    <w:rsid w:val="001D66D9"/>
    <w:rsid w:val="001E407C"/>
    <w:rsid w:val="001E4108"/>
    <w:rsid w:val="001E7607"/>
    <w:rsid w:val="001F2F73"/>
    <w:rsid w:val="001F65AA"/>
    <w:rsid w:val="001F6DB7"/>
    <w:rsid w:val="001F7E1D"/>
    <w:rsid w:val="00200B3A"/>
    <w:rsid w:val="00200BAC"/>
    <w:rsid w:val="00203787"/>
    <w:rsid w:val="00205096"/>
    <w:rsid w:val="00205D7B"/>
    <w:rsid w:val="002100D0"/>
    <w:rsid w:val="002110B8"/>
    <w:rsid w:val="00217B5A"/>
    <w:rsid w:val="0022046D"/>
    <w:rsid w:val="00220E63"/>
    <w:rsid w:val="002219E7"/>
    <w:rsid w:val="002225CC"/>
    <w:rsid w:val="00223264"/>
    <w:rsid w:val="002255E3"/>
    <w:rsid w:val="0022783B"/>
    <w:rsid w:val="0023223B"/>
    <w:rsid w:val="002342C7"/>
    <w:rsid w:val="00237A64"/>
    <w:rsid w:val="00240334"/>
    <w:rsid w:val="0024504B"/>
    <w:rsid w:val="00253138"/>
    <w:rsid w:val="00256978"/>
    <w:rsid w:val="00257CEB"/>
    <w:rsid w:val="00257DEF"/>
    <w:rsid w:val="00260182"/>
    <w:rsid w:val="0026238C"/>
    <w:rsid w:val="00264660"/>
    <w:rsid w:val="002647AE"/>
    <w:rsid w:val="00264A8E"/>
    <w:rsid w:val="00265326"/>
    <w:rsid w:val="00266710"/>
    <w:rsid w:val="002669ED"/>
    <w:rsid w:val="00267014"/>
    <w:rsid w:val="00271D68"/>
    <w:rsid w:val="00275363"/>
    <w:rsid w:val="002777FB"/>
    <w:rsid w:val="00280205"/>
    <w:rsid w:val="0028432E"/>
    <w:rsid w:val="002850A9"/>
    <w:rsid w:val="00286D65"/>
    <w:rsid w:val="00290024"/>
    <w:rsid w:val="00291C03"/>
    <w:rsid w:val="00291DE6"/>
    <w:rsid w:val="00292684"/>
    <w:rsid w:val="00292C4B"/>
    <w:rsid w:val="0029364F"/>
    <w:rsid w:val="002A07BE"/>
    <w:rsid w:val="002A3779"/>
    <w:rsid w:val="002A3A67"/>
    <w:rsid w:val="002A43D3"/>
    <w:rsid w:val="002A5010"/>
    <w:rsid w:val="002A6019"/>
    <w:rsid w:val="002B090E"/>
    <w:rsid w:val="002B09AB"/>
    <w:rsid w:val="002B30DB"/>
    <w:rsid w:val="002C05A0"/>
    <w:rsid w:val="002C0652"/>
    <w:rsid w:val="002C3274"/>
    <w:rsid w:val="002C42DE"/>
    <w:rsid w:val="002C58C5"/>
    <w:rsid w:val="002C6A08"/>
    <w:rsid w:val="002C7227"/>
    <w:rsid w:val="002C76DD"/>
    <w:rsid w:val="002C7A99"/>
    <w:rsid w:val="002C7B14"/>
    <w:rsid w:val="002D719B"/>
    <w:rsid w:val="002D7763"/>
    <w:rsid w:val="002E0518"/>
    <w:rsid w:val="002E614C"/>
    <w:rsid w:val="002F0257"/>
    <w:rsid w:val="002F4757"/>
    <w:rsid w:val="002F573D"/>
    <w:rsid w:val="002F583E"/>
    <w:rsid w:val="002F706A"/>
    <w:rsid w:val="002F7B7C"/>
    <w:rsid w:val="00300A80"/>
    <w:rsid w:val="00303169"/>
    <w:rsid w:val="00305923"/>
    <w:rsid w:val="00306B23"/>
    <w:rsid w:val="00311785"/>
    <w:rsid w:val="003139DD"/>
    <w:rsid w:val="003149E4"/>
    <w:rsid w:val="003157CE"/>
    <w:rsid w:val="00317A3E"/>
    <w:rsid w:val="00320E72"/>
    <w:rsid w:val="00322216"/>
    <w:rsid w:val="00322E4C"/>
    <w:rsid w:val="00323EC7"/>
    <w:rsid w:val="003242D6"/>
    <w:rsid w:val="003249E8"/>
    <w:rsid w:val="00324B9E"/>
    <w:rsid w:val="00326F5D"/>
    <w:rsid w:val="00330F21"/>
    <w:rsid w:val="00331342"/>
    <w:rsid w:val="00331449"/>
    <w:rsid w:val="003321A7"/>
    <w:rsid w:val="00332C88"/>
    <w:rsid w:val="00333DA3"/>
    <w:rsid w:val="0033406B"/>
    <w:rsid w:val="0033463C"/>
    <w:rsid w:val="0033582F"/>
    <w:rsid w:val="00335855"/>
    <w:rsid w:val="00335991"/>
    <w:rsid w:val="00337A0A"/>
    <w:rsid w:val="00341144"/>
    <w:rsid w:val="003430D7"/>
    <w:rsid w:val="00343C17"/>
    <w:rsid w:val="0034518F"/>
    <w:rsid w:val="00350E10"/>
    <w:rsid w:val="003577B3"/>
    <w:rsid w:val="00357A7D"/>
    <w:rsid w:val="00357F61"/>
    <w:rsid w:val="00363164"/>
    <w:rsid w:val="0036407A"/>
    <w:rsid w:val="00364FEE"/>
    <w:rsid w:val="0037096F"/>
    <w:rsid w:val="00372B43"/>
    <w:rsid w:val="0037378C"/>
    <w:rsid w:val="00373C22"/>
    <w:rsid w:val="00375A81"/>
    <w:rsid w:val="003761FE"/>
    <w:rsid w:val="00380CD5"/>
    <w:rsid w:val="00381DB2"/>
    <w:rsid w:val="00382227"/>
    <w:rsid w:val="0038233B"/>
    <w:rsid w:val="003854D5"/>
    <w:rsid w:val="00386A93"/>
    <w:rsid w:val="0038727F"/>
    <w:rsid w:val="003878F7"/>
    <w:rsid w:val="00390461"/>
    <w:rsid w:val="00390822"/>
    <w:rsid w:val="003923B9"/>
    <w:rsid w:val="00397279"/>
    <w:rsid w:val="003A1BAF"/>
    <w:rsid w:val="003A312C"/>
    <w:rsid w:val="003A34D3"/>
    <w:rsid w:val="003A46A3"/>
    <w:rsid w:val="003A47AA"/>
    <w:rsid w:val="003B1145"/>
    <w:rsid w:val="003B206F"/>
    <w:rsid w:val="003B29D6"/>
    <w:rsid w:val="003B2E3A"/>
    <w:rsid w:val="003B562B"/>
    <w:rsid w:val="003B5B76"/>
    <w:rsid w:val="003B704F"/>
    <w:rsid w:val="003C0AD6"/>
    <w:rsid w:val="003C0D71"/>
    <w:rsid w:val="003C3151"/>
    <w:rsid w:val="003C5283"/>
    <w:rsid w:val="003C59E0"/>
    <w:rsid w:val="003C5C1A"/>
    <w:rsid w:val="003D1EAC"/>
    <w:rsid w:val="003D2128"/>
    <w:rsid w:val="003D2C50"/>
    <w:rsid w:val="003D3AB5"/>
    <w:rsid w:val="003D4CEF"/>
    <w:rsid w:val="003D5918"/>
    <w:rsid w:val="003D608E"/>
    <w:rsid w:val="003D7D39"/>
    <w:rsid w:val="003E1D9D"/>
    <w:rsid w:val="003E24EB"/>
    <w:rsid w:val="003E2C3F"/>
    <w:rsid w:val="003E6D43"/>
    <w:rsid w:val="003E7F65"/>
    <w:rsid w:val="003F24F5"/>
    <w:rsid w:val="003F2ABF"/>
    <w:rsid w:val="003F7392"/>
    <w:rsid w:val="004016E9"/>
    <w:rsid w:val="00401A8D"/>
    <w:rsid w:val="004021F5"/>
    <w:rsid w:val="0040386C"/>
    <w:rsid w:val="00412BCF"/>
    <w:rsid w:val="00421369"/>
    <w:rsid w:val="00421EDF"/>
    <w:rsid w:val="00422F46"/>
    <w:rsid w:val="00424653"/>
    <w:rsid w:val="0043343F"/>
    <w:rsid w:val="00433C26"/>
    <w:rsid w:val="00433D49"/>
    <w:rsid w:val="00433D7C"/>
    <w:rsid w:val="00434B6A"/>
    <w:rsid w:val="004356DC"/>
    <w:rsid w:val="004363B4"/>
    <w:rsid w:val="00440D76"/>
    <w:rsid w:val="00445263"/>
    <w:rsid w:val="00446166"/>
    <w:rsid w:val="0044699D"/>
    <w:rsid w:val="00446DEC"/>
    <w:rsid w:val="00447584"/>
    <w:rsid w:val="0044778B"/>
    <w:rsid w:val="004504DA"/>
    <w:rsid w:val="00453786"/>
    <w:rsid w:val="004555BF"/>
    <w:rsid w:val="00456552"/>
    <w:rsid w:val="00456BFD"/>
    <w:rsid w:val="00456C7A"/>
    <w:rsid w:val="0046071D"/>
    <w:rsid w:val="0046185A"/>
    <w:rsid w:val="0046208B"/>
    <w:rsid w:val="00467382"/>
    <w:rsid w:val="00470A85"/>
    <w:rsid w:val="00471588"/>
    <w:rsid w:val="00473E3F"/>
    <w:rsid w:val="004740A0"/>
    <w:rsid w:val="00475696"/>
    <w:rsid w:val="00480BE7"/>
    <w:rsid w:val="00480C91"/>
    <w:rsid w:val="00483700"/>
    <w:rsid w:val="0049197F"/>
    <w:rsid w:val="0049246C"/>
    <w:rsid w:val="00494AAC"/>
    <w:rsid w:val="004A03BC"/>
    <w:rsid w:val="004A11BD"/>
    <w:rsid w:val="004A1BC0"/>
    <w:rsid w:val="004A262B"/>
    <w:rsid w:val="004A2658"/>
    <w:rsid w:val="004A4184"/>
    <w:rsid w:val="004B0372"/>
    <w:rsid w:val="004B5233"/>
    <w:rsid w:val="004C0D1E"/>
    <w:rsid w:val="004C4A0F"/>
    <w:rsid w:val="004C504A"/>
    <w:rsid w:val="004D17F0"/>
    <w:rsid w:val="004D2074"/>
    <w:rsid w:val="004D2AA0"/>
    <w:rsid w:val="004D30B4"/>
    <w:rsid w:val="004D3260"/>
    <w:rsid w:val="004D4111"/>
    <w:rsid w:val="004D5E8E"/>
    <w:rsid w:val="004D60C1"/>
    <w:rsid w:val="004E058B"/>
    <w:rsid w:val="004E1C3C"/>
    <w:rsid w:val="004E400C"/>
    <w:rsid w:val="004E4AE1"/>
    <w:rsid w:val="004E513A"/>
    <w:rsid w:val="004E52A4"/>
    <w:rsid w:val="004E5FB0"/>
    <w:rsid w:val="004F06AD"/>
    <w:rsid w:val="004F1BF3"/>
    <w:rsid w:val="004F4189"/>
    <w:rsid w:val="004F6A45"/>
    <w:rsid w:val="004F6E79"/>
    <w:rsid w:val="005008C7"/>
    <w:rsid w:val="005031C1"/>
    <w:rsid w:val="00505C47"/>
    <w:rsid w:val="00507EDF"/>
    <w:rsid w:val="00510414"/>
    <w:rsid w:val="00510A01"/>
    <w:rsid w:val="00513E0F"/>
    <w:rsid w:val="00513FED"/>
    <w:rsid w:val="00516116"/>
    <w:rsid w:val="0051624E"/>
    <w:rsid w:val="00520436"/>
    <w:rsid w:val="005209BF"/>
    <w:rsid w:val="005300D0"/>
    <w:rsid w:val="0053262F"/>
    <w:rsid w:val="00534C81"/>
    <w:rsid w:val="00536790"/>
    <w:rsid w:val="00536A4B"/>
    <w:rsid w:val="00537C6D"/>
    <w:rsid w:val="00542ED1"/>
    <w:rsid w:val="00544671"/>
    <w:rsid w:val="005466C6"/>
    <w:rsid w:val="00546EF4"/>
    <w:rsid w:val="00547AF8"/>
    <w:rsid w:val="0055154E"/>
    <w:rsid w:val="005536CA"/>
    <w:rsid w:val="00553C16"/>
    <w:rsid w:val="005555DA"/>
    <w:rsid w:val="005564D0"/>
    <w:rsid w:val="00557B55"/>
    <w:rsid w:val="005602DB"/>
    <w:rsid w:val="0056236A"/>
    <w:rsid w:val="0056315E"/>
    <w:rsid w:val="00564311"/>
    <w:rsid w:val="0056431B"/>
    <w:rsid w:val="00570F60"/>
    <w:rsid w:val="00572350"/>
    <w:rsid w:val="00574F22"/>
    <w:rsid w:val="00574FA0"/>
    <w:rsid w:val="0057581D"/>
    <w:rsid w:val="005768EE"/>
    <w:rsid w:val="005800C5"/>
    <w:rsid w:val="005816C8"/>
    <w:rsid w:val="0058267C"/>
    <w:rsid w:val="00586F79"/>
    <w:rsid w:val="0059078E"/>
    <w:rsid w:val="00590AF7"/>
    <w:rsid w:val="00590B16"/>
    <w:rsid w:val="00594AD1"/>
    <w:rsid w:val="00595DC6"/>
    <w:rsid w:val="00596104"/>
    <w:rsid w:val="005A3A2B"/>
    <w:rsid w:val="005A4745"/>
    <w:rsid w:val="005A4BD7"/>
    <w:rsid w:val="005A5CC0"/>
    <w:rsid w:val="005A798F"/>
    <w:rsid w:val="005B298F"/>
    <w:rsid w:val="005B2FB0"/>
    <w:rsid w:val="005B517C"/>
    <w:rsid w:val="005B6F5A"/>
    <w:rsid w:val="005C3084"/>
    <w:rsid w:val="005C3259"/>
    <w:rsid w:val="005C4024"/>
    <w:rsid w:val="005D1D46"/>
    <w:rsid w:val="005D1D54"/>
    <w:rsid w:val="005D2DE3"/>
    <w:rsid w:val="005D46A6"/>
    <w:rsid w:val="005D5778"/>
    <w:rsid w:val="005D5E1F"/>
    <w:rsid w:val="005D5EB1"/>
    <w:rsid w:val="005D6BA7"/>
    <w:rsid w:val="005D7E94"/>
    <w:rsid w:val="005E0338"/>
    <w:rsid w:val="005E2E3C"/>
    <w:rsid w:val="005E4146"/>
    <w:rsid w:val="005E5553"/>
    <w:rsid w:val="005E5A86"/>
    <w:rsid w:val="005E6076"/>
    <w:rsid w:val="005E6A41"/>
    <w:rsid w:val="005E7777"/>
    <w:rsid w:val="005F00FE"/>
    <w:rsid w:val="005F2C40"/>
    <w:rsid w:val="005F444C"/>
    <w:rsid w:val="005F6480"/>
    <w:rsid w:val="005F747A"/>
    <w:rsid w:val="0060105A"/>
    <w:rsid w:val="006053F8"/>
    <w:rsid w:val="00607BFC"/>
    <w:rsid w:val="0061196F"/>
    <w:rsid w:val="006161F5"/>
    <w:rsid w:val="006166B3"/>
    <w:rsid w:val="00622A1C"/>
    <w:rsid w:val="00622FAB"/>
    <w:rsid w:val="00624131"/>
    <w:rsid w:val="0062558C"/>
    <w:rsid w:val="00625775"/>
    <w:rsid w:val="00626B48"/>
    <w:rsid w:val="00631262"/>
    <w:rsid w:val="00632C62"/>
    <w:rsid w:val="00633B6F"/>
    <w:rsid w:val="00634136"/>
    <w:rsid w:val="006368E0"/>
    <w:rsid w:val="00640157"/>
    <w:rsid w:val="00650216"/>
    <w:rsid w:val="00653D4E"/>
    <w:rsid w:val="00654FA3"/>
    <w:rsid w:val="006550AE"/>
    <w:rsid w:val="006562C3"/>
    <w:rsid w:val="006566D5"/>
    <w:rsid w:val="00660033"/>
    <w:rsid w:val="00660BFF"/>
    <w:rsid w:val="006661CB"/>
    <w:rsid w:val="006667B6"/>
    <w:rsid w:val="00670959"/>
    <w:rsid w:val="00675562"/>
    <w:rsid w:val="00675F65"/>
    <w:rsid w:val="0068000B"/>
    <w:rsid w:val="0068157C"/>
    <w:rsid w:val="006821B7"/>
    <w:rsid w:val="006822B9"/>
    <w:rsid w:val="006831D0"/>
    <w:rsid w:val="0068578C"/>
    <w:rsid w:val="00687835"/>
    <w:rsid w:val="00687B84"/>
    <w:rsid w:val="00690964"/>
    <w:rsid w:val="006927DD"/>
    <w:rsid w:val="00693B3A"/>
    <w:rsid w:val="00695EA9"/>
    <w:rsid w:val="006971CD"/>
    <w:rsid w:val="006A1B71"/>
    <w:rsid w:val="006A2736"/>
    <w:rsid w:val="006A36D7"/>
    <w:rsid w:val="006A437B"/>
    <w:rsid w:val="006A5427"/>
    <w:rsid w:val="006A704B"/>
    <w:rsid w:val="006A7A72"/>
    <w:rsid w:val="006B0D0E"/>
    <w:rsid w:val="006B300D"/>
    <w:rsid w:val="006B4215"/>
    <w:rsid w:val="006B4675"/>
    <w:rsid w:val="006B5112"/>
    <w:rsid w:val="006B74B9"/>
    <w:rsid w:val="006C07B3"/>
    <w:rsid w:val="006C133B"/>
    <w:rsid w:val="006C1E5A"/>
    <w:rsid w:val="006C23C7"/>
    <w:rsid w:val="006C2E3D"/>
    <w:rsid w:val="006C7321"/>
    <w:rsid w:val="006C7E08"/>
    <w:rsid w:val="006D22E9"/>
    <w:rsid w:val="006D232A"/>
    <w:rsid w:val="006D45C5"/>
    <w:rsid w:val="006D63A1"/>
    <w:rsid w:val="006D78FA"/>
    <w:rsid w:val="006E25B0"/>
    <w:rsid w:val="006E31E1"/>
    <w:rsid w:val="006E34BA"/>
    <w:rsid w:val="006E4813"/>
    <w:rsid w:val="006E6E74"/>
    <w:rsid w:val="006E7E71"/>
    <w:rsid w:val="006F04BA"/>
    <w:rsid w:val="006F2E76"/>
    <w:rsid w:val="00701F36"/>
    <w:rsid w:val="0070302F"/>
    <w:rsid w:val="00705235"/>
    <w:rsid w:val="00705298"/>
    <w:rsid w:val="00706A45"/>
    <w:rsid w:val="00714778"/>
    <w:rsid w:val="0071525E"/>
    <w:rsid w:val="00715991"/>
    <w:rsid w:val="00716154"/>
    <w:rsid w:val="00716C6F"/>
    <w:rsid w:val="0072149C"/>
    <w:rsid w:val="00721825"/>
    <w:rsid w:val="00722FC6"/>
    <w:rsid w:val="00726509"/>
    <w:rsid w:val="00727011"/>
    <w:rsid w:val="0073187E"/>
    <w:rsid w:val="007333DC"/>
    <w:rsid w:val="007344D9"/>
    <w:rsid w:val="00735987"/>
    <w:rsid w:val="00742A17"/>
    <w:rsid w:val="00742EBE"/>
    <w:rsid w:val="0074349D"/>
    <w:rsid w:val="00743D43"/>
    <w:rsid w:val="00743EFE"/>
    <w:rsid w:val="0074565A"/>
    <w:rsid w:val="0075084B"/>
    <w:rsid w:val="007544EA"/>
    <w:rsid w:val="007601A0"/>
    <w:rsid w:val="0076223E"/>
    <w:rsid w:val="0076239F"/>
    <w:rsid w:val="00763212"/>
    <w:rsid w:val="00765953"/>
    <w:rsid w:val="00766336"/>
    <w:rsid w:val="00767139"/>
    <w:rsid w:val="0076741D"/>
    <w:rsid w:val="00771B41"/>
    <w:rsid w:val="007723AA"/>
    <w:rsid w:val="00772FFD"/>
    <w:rsid w:val="0078404E"/>
    <w:rsid w:val="00785FB4"/>
    <w:rsid w:val="00786FF0"/>
    <w:rsid w:val="00787E29"/>
    <w:rsid w:val="00797020"/>
    <w:rsid w:val="00797D0C"/>
    <w:rsid w:val="007A31E3"/>
    <w:rsid w:val="007A4564"/>
    <w:rsid w:val="007A548F"/>
    <w:rsid w:val="007A60E4"/>
    <w:rsid w:val="007A6F42"/>
    <w:rsid w:val="007A7951"/>
    <w:rsid w:val="007A79DA"/>
    <w:rsid w:val="007B0789"/>
    <w:rsid w:val="007B0F89"/>
    <w:rsid w:val="007B1600"/>
    <w:rsid w:val="007B1CC5"/>
    <w:rsid w:val="007B28CB"/>
    <w:rsid w:val="007B484F"/>
    <w:rsid w:val="007B61B4"/>
    <w:rsid w:val="007B6D8C"/>
    <w:rsid w:val="007B7436"/>
    <w:rsid w:val="007C1CAB"/>
    <w:rsid w:val="007C34DD"/>
    <w:rsid w:val="007C5053"/>
    <w:rsid w:val="007C523F"/>
    <w:rsid w:val="007C5F3A"/>
    <w:rsid w:val="007C733F"/>
    <w:rsid w:val="007C7A4A"/>
    <w:rsid w:val="007D0A1C"/>
    <w:rsid w:val="007D1640"/>
    <w:rsid w:val="007D2419"/>
    <w:rsid w:val="007D37CF"/>
    <w:rsid w:val="007D6C07"/>
    <w:rsid w:val="007E35EE"/>
    <w:rsid w:val="007F1A34"/>
    <w:rsid w:val="007F3C8B"/>
    <w:rsid w:val="007F7465"/>
    <w:rsid w:val="007F7CE1"/>
    <w:rsid w:val="0080052E"/>
    <w:rsid w:val="00801076"/>
    <w:rsid w:val="00801234"/>
    <w:rsid w:val="00801C5B"/>
    <w:rsid w:val="0080781C"/>
    <w:rsid w:val="0081002F"/>
    <w:rsid w:val="00811433"/>
    <w:rsid w:val="00813040"/>
    <w:rsid w:val="008135E3"/>
    <w:rsid w:val="00813D4B"/>
    <w:rsid w:val="008225A8"/>
    <w:rsid w:val="00827B9A"/>
    <w:rsid w:val="00831920"/>
    <w:rsid w:val="008338DC"/>
    <w:rsid w:val="00834297"/>
    <w:rsid w:val="00834616"/>
    <w:rsid w:val="008359D7"/>
    <w:rsid w:val="008365E5"/>
    <w:rsid w:val="00836E4F"/>
    <w:rsid w:val="00837087"/>
    <w:rsid w:val="008371D4"/>
    <w:rsid w:val="00841056"/>
    <w:rsid w:val="00842184"/>
    <w:rsid w:val="008429AE"/>
    <w:rsid w:val="00842E71"/>
    <w:rsid w:val="008458D7"/>
    <w:rsid w:val="00845AF4"/>
    <w:rsid w:val="008503CA"/>
    <w:rsid w:val="00851865"/>
    <w:rsid w:val="00854AAB"/>
    <w:rsid w:val="00855A3E"/>
    <w:rsid w:val="008573FA"/>
    <w:rsid w:val="00857D4B"/>
    <w:rsid w:val="008635FF"/>
    <w:rsid w:val="00864DC0"/>
    <w:rsid w:val="008652CF"/>
    <w:rsid w:val="00866D18"/>
    <w:rsid w:val="00866D35"/>
    <w:rsid w:val="00867D30"/>
    <w:rsid w:val="00872122"/>
    <w:rsid w:val="00872666"/>
    <w:rsid w:val="00875158"/>
    <w:rsid w:val="0087576D"/>
    <w:rsid w:val="008759EE"/>
    <w:rsid w:val="00882F5D"/>
    <w:rsid w:val="00883161"/>
    <w:rsid w:val="00884A3A"/>
    <w:rsid w:val="00886770"/>
    <w:rsid w:val="00886F31"/>
    <w:rsid w:val="0089078A"/>
    <w:rsid w:val="00895B09"/>
    <w:rsid w:val="008A36FF"/>
    <w:rsid w:val="008A5E9B"/>
    <w:rsid w:val="008A5ED5"/>
    <w:rsid w:val="008A6524"/>
    <w:rsid w:val="008B156C"/>
    <w:rsid w:val="008B3424"/>
    <w:rsid w:val="008B7595"/>
    <w:rsid w:val="008B782D"/>
    <w:rsid w:val="008C2B9B"/>
    <w:rsid w:val="008C4AB0"/>
    <w:rsid w:val="008D00E8"/>
    <w:rsid w:val="008D0BC1"/>
    <w:rsid w:val="008D1025"/>
    <w:rsid w:val="008D375D"/>
    <w:rsid w:val="008D7019"/>
    <w:rsid w:val="008E2154"/>
    <w:rsid w:val="008E3C08"/>
    <w:rsid w:val="008E3F91"/>
    <w:rsid w:val="008E51E4"/>
    <w:rsid w:val="008E7026"/>
    <w:rsid w:val="008F1DEE"/>
    <w:rsid w:val="008F524E"/>
    <w:rsid w:val="008F6560"/>
    <w:rsid w:val="008F6ACA"/>
    <w:rsid w:val="009012AF"/>
    <w:rsid w:val="00903B97"/>
    <w:rsid w:val="00904C88"/>
    <w:rsid w:val="00905252"/>
    <w:rsid w:val="00905BA5"/>
    <w:rsid w:val="0090726E"/>
    <w:rsid w:val="00907E91"/>
    <w:rsid w:val="00910347"/>
    <w:rsid w:val="00911590"/>
    <w:rsid w:val="0091759A"/>
    <w:rsid w:val="00917F59"/>
    <w:rsid w:val="0092164E"/>
    <w:rsid w:val="0092201F"/>
    <w:rsid w:val="00922D8A"/>
    <w:rsid w:val="00922FA5"/>
    <w:rsid w:val="009232A4"/>
    <w:rsid w:val="00924677"/>
    <w:rsid w:val="0092522B"/>
    <w:rsid w:val="00932BDF"/>
    <w:rsid w:val="00936BD6"/>
    <w:rsid w:val="00937A28"/>
    <w:rsid w:val="009413CA"/>
    <w:rsid w:val="00942389"/>
    <w:rsid w:val="00944237"/>
    <w:rsid w:val="00944FF1"/>
    <w:rsid w:val="0094664B"/>
    <w:rsid w:val="00946729"/>
    <w:rsid w:val="009511D5"/>
    <w:rsid w:val="009520B9"/>
    <w:rsid w:val="0095668C"/>
    <w:rsid w:val="00961591"/>
    <w:rsid w:val="009656C0"/>
    <w:rsid w:val="009664BF"/>
    <w:rsid w:val="00982215"/>
    <w:rsid w:val="00991D6C"/>
    <w:rsid w:val="00995E12"/>
    <w:rsid w:val="00997D5D"/>
    <w:rsid w:val="009A298C"/>
    <w:rsid w:val="009A3020"/>
    <w:rsid w:val="009A3B37"/>
    <w:rsid w:val="009A4E75"/>
    <w:rsid w:val="009A5B46"/>
    <w:rsid w:val="009B05E0"/>
    <w:rsid w:val="009B3057"/>
    <w:rsid w:val="009C5298"/>
    <w:rsid w:val="009C6DE1"/>
    <w:rsid w:val="009C7A05"/>
    <w:rsid w:val="009D1D9E"/>
    <w:rsid w:val="009D2AAF"/>
    <w:rsid w:val="009D3764"/>
    <w:rsid w:val="009D480A"/>
    <w:rsid w:val="009D5D42"/>
    <w:rsid w:val="009D655F"/>
    <w:rsid w:val="009E5326"/>
    <w:rsid w:val="009E5D6B"/>
    <w:rsid w:val="009F1014"/>
    <w:rsid w:val="009F3183"/>
    <w:rsid w:val="009F3D4D"/>
    <w:rsid w:val="009F4733"/>
    <w:rsid w:val="00A0257A"/>
    <w:rsid w:val="00A0383A"/>
    <w:rsid w:val="00A14B00"/>
    <w:rsid w:val="00A21603"/>
    <w:rsid w:val="00A23953"/>
    <w:rsid w:val="00A25D99"/>
    <w:rsid w:val="00A278DA"/>
    <w:rsid w:val="00A27A3F"/>
    <w:rsid w:val="00A30754"/>
    <w:rsid w:val="00A331AD"/>
    <w:rsid w:val="00A361AF"/>
    <w:rsid w:val="00A37C1D"/>
    <w:rsid w:val="00A40635"/>
    <w:rsid w:val="00A42C45"/>
    <w:rsid w:val="00A459AE"/>
    <w:rsid w:val="00A47545"/>
    <w:rsid w:val="00A47813"/>
    <w:rsid w:val="00A4793D"/>
    <w:rsid w:val="00A5172E"/>
    <w:rsid w:val="00A51BC0"/>
    <w:rsid w:val="00A526FF"/>
    <w:rsid w:val="00A555FB"/>
    <w:rsid w:val="00A559A3"/>
    <w:rsid w:val="00A5658D"/>
    <w:rsid w:val="00A569A2"/>
    <w:rsid w:val="00A57E7F"/>
    <w:rsid w:val="00A60110"/>
    <w:rsid w:val="00A6191E"/>
    <w:rsid w:val="00A6224B"/>
    <w:rsid w:val="00A62D24"/>
    <w:rsid w:val="00A710D9"/>
    <w:rsid w:val="00A7143D"/>
    <w:rsid w:val="00A715A5"/>
    <w:rsid w:val="00A71A86"/>
    <w:rsid w:val="00A71D4A"/>
    <w:rsid w:val="00A726E7"/>
    <w:rsid w:val="00A734EF"/>
    <w:rsid w:val="00A74FD4"/>
    <w:rsid w:val="00A76799"/>
    <w:rsid w:val="00A76D57"/>
    <w:rsid w:val="00A77C45"/>
    <w:rsid w:val="00A8086A"/>
    <w:rsid w:val="00A82447"/>
    <w:rsid w:val="00A83900"/>
    <w:rsid w:val="00A84D72"/>
    <w:rsid w:val="00A86496"/>
    <w:rsid w:val="00A86B76"/>
    <w:rsid w:val="00A905B7"/>
    <w:rsid w:val="00A9095A"/>
    <w:rsid w:val="00A92431"/>
    <w:rsid w:val="00A956D6"/>
    <w:rsid w:val="00A9667E"/>
    <w:rsid w:val="00A9793F"/>
    <w:rsid w:val="00AA0659"/>
    <w:rsid w:val="00AA0905"/>
    <w:rsid w:val="00AA2A9E"/>
    <w:rsid w:val="00AA6F97"/>
    <w:rsid w:val="00AB07F5"/>
    <w:rsid w:val="00AB09C1"/>
    <w:rsid w:val="00AB15D5"/>
    <w:rsid w:val="00AB30D7"/>
    <w:rsid w:val="00AB3B07"/>
    <w:rsid w:val="00AB3FEB"/>
    <w:rsid w:val="00AB48DD"/>
    <w:rsid w:val="00AB657E"/>
    <w:rsid w:val="00AC1534"/>
    <w:rsid w:val="00AC7B36"/>
    <w:rsid w:val="00AD2506"/>
    <w:rsid w:val="00AD461E"/>
    <w:rsid w:val="00AD5EAE"/>
    <w:rsid w:val="00AD6D32"/>
    <w:rsid w:val="00AE3B59"/>
    <w:rsid w:val="00AE442E"/>
    <w:rsid w:val="00AE721E"/>
    <w:rsid w:val="00AE7DE8"/>
    <w:rsid w:val="00AF0983"/>
    <w:rsid w:val="00AF1F99"/>
    <w:rsid w:val="00AF34A9"/>
    <w:rsid w:val="00AF37AF"/>
    <w:rsid w:val="00AF7857"/>
    <w:rsid w:val="00B01497"/>
    <w:rsid w:val="00B018B1"/>
    <w:rsid w:val="00B01CFD"/>
    <w:rsid w:val="00B02718"/>
    <w:rsid w:val="00B03890"/>
    <w:rsid w:val="00B039CF"/>
    <w:rsid w:val="00B0720C"/>
    <w:rsid w:val="00B109A8"/>
    <w:rsid w:val="00B10CD2"/>
    <w:rsid w:val="00B15CAB"/>
    <w:rsid w:val="00B17371"/>
    <w:rsid w:val="00B25F9D"/>
    <w:rsid w:val="00B260BF"/>
    <w:rsid w:val="00B264BA"/>
    <w:rsid w:val="00B2700A"/>
    <w:rsid w:val="00B279B0"/>
    <w:rsid w:val="00B27C87"/>
    <w:rsid w:val="00B32DF4"/>
    <w:rsid w:val="00B34948"/>
    <w:rsid w:val="00B36097"/>
    <w:rsid w:val="00B36ACC"/>
    <w:rsid w:val="00B36FDF"/>
    <w:rsid w:val="00B4016F"/>
    <w:rsid w:val="00B42990"/>
    <w:rsid w:val="00B43844"/>
    <w:rsid w:val="00B45851"/>
    <w:rsid w:val="00B501E5"/>
    <w:rsid w:val="00B5062C"/>
    <w:rsid w:val="00B50773"/>
    <w:rsid w:val="00B52904"/>
    <w:rsid w:val="00B55027"/>
    <w:rsid w:val="00B55D65"/>
    <w:rsid w:val="00B57469"/>
    <w:rsid w:val="00B61F2A"/>
    <w:rsid w:val="00B62990"/>
    <w:rsid w:val="00B64C5E"/>
    <w:rsid w:val="00B65015"/>
    <w:rsid w:val="00B6529A"/>
    <w:rsid w:val="00B707CF"/>
    <w:rsid w:val="00B72E52"/>
    <w:rsid w:val="00B7598A"/>
    <w:rsid w:val="00B826CD"/>
    <w:rsid w:val="00B83E33"/>
    <w:rsid w:val="00B9260A"/>
    <w:rsid w:val="00B93220"/>
    <w:rsid w:val="00B944D9"/>
    <w:rsid w:val="00B9455B"/>
    <w:rsid w:val="00B9616A"/>
    <w:rsid w:val="00B9688A"/>
    <w:rsid w:val="00BA0DBF"/>
    <w:rsid w:val="00BA1513"/>
    <w:rsid w:val="00BA2A70"/>
    <w:rsid w:val="00BA2D49"/>
    <w:rsid w:val="00BA2F10"/>
    <w:rsid w:val="00BA40B0"/>
    <w:rsid w:val="00BA5499"/>
    <w:rsid w:val="00BA5945"/>
    <w:rsid w:val="00BA6236"/>
    <w:rsid w:val="00BA68F3"/>
    <w:rsid w:val="00BB4C7F"/>
    <w:rsid w:val="00BB6773"/>
    <w:rsid w:val="00BB6857"/>
    <w:rsid w:val="00BC18D3"/>
    <w:rsid w:val="00BC2BF8"/>
    <w:rsid w:val="00BC33E7"/>
    <w:rsid w:val="00BC35CB"/>
    <w:rsid w:val="00BC5310"/>
    <w:rsid w:val="00BC7081"/>
    <w:rsid w:val="00BD0904"/>
    <w:rsid w:val="00BD1D4F"/>
    <w:rsid w:val="00BD47F6"/>
    <w:rsid w:val="00BD4CF3"/>
    <w:rsid w:val="00BD4F3E"/>
    <w:rsid w:val="00BD5531"/>
    <w:rsid w:val="00BD6191"/>
    <w:rsid w:val="00BE0ABD"/>
    <w:rsid w:val="00BE2D8D"/>
    <w:rsid w:val="00BE3941"/>
    <w:rsid w:val="00BE7AFF"/>
    <w:rsid w:val="00BF0ECD"/>
    <w:rsid w:val="00BF1199"/>
    <w:rsid w:val="00BF1B39"/>
    <w:rsid w:val="00BF4A50"/>
    <w:rsid w:val="00BF5DEA"/>
    <w:rsid w:val="00BF772B"/>
    <w:rsid w:val="00BF786C"/>
    <w:rsid w:val="00C0140E"/>
    <w:rsid w:val="00C01C90"/>
    <w:rsid w:val="00C029C8"/>
    <w:rsid w:val="00C03482"/>
    <w:rsid w:val="00C03852"/>
    <w:rsid w:val="00C0746C"/>
    <w:rsid w:val="00C13E18"/>
    <w:rsid w:val="00C1408E"/>
    <w:rsid w:val="00C15A35"/>
    <w:rsid w:val="00C16263"/>
    <w:rsid w:val="00C16911"/>
    <w:rsid w:val="00C17552"/>
    <w:rsid w:val="00C17AE0"/>
    <w:rsid w:val="00C17F38"/>
    <w:rsid w:val="00C23515"/>
    <w:rsid w:val="00C27F4F"/>
    <w:rsid w:val="00C33F74"/>
    <w:rsid w:val="00C33FAE"/>
    <w:rsid w:val="00C341E0"/>
    <w:rsid w:val="00C365C4"/>
    <w:rsid w:val="00C366B2"/>
    <w:rsid w:val="00C36B7F"/>
    <w:rsid w:val="00C411AD"/>
    <w:rsid w:val="00C41E7D"/>
    <w:rsid w:val="00C46760"/>
    <w:rsid w:val="00C46E1A"/>
    <w:rsid w:val="00C51F15"/>
    <w:rsid w:val="00C61475"/>
    <w:rsid w:val="00C6323B"/>
    <w:rsid w:val="00C6343F"/>
    <w:rsid w:val="00C63ADB"/>
    <w:rsid w:val="00C66EA9"/>
    <w:rsid w:val="00C671D5"/>
    <w:rsid w:val="00C72B25"/>
    <w:rsid w:val="00C73770"/>
    <w:rsid w:val="00C74635"/>
    <w:rsid w:val="00C75B01"/>
    <w:rsid w:val="00C807D5"/>
    <w:rsid w:val="00C80B46"/>
    <w:rsid w:val="00C81D60"/>
    <w:rsid w:val="00C83D3A"/>
    <w:rsid w:val="00C9340F"/>
    <w:rsid w:val="00C96C59"/>
    <w:rsid w:val="00C97AB5"/>
    <w:rsid w:val="00CA70AA"/>
    <w:rsid w:val="00CB34E2"/>
    <w:rsid w:val="00CB3AB9"/>
    <w:rsid w:val="00CB4FE5"/>
    <w:rsid w:val="00CB5FB1"/>
    <w:rsid w:val="00CC015E"/>
    <w:rsid w:val="00CC3215"/>
    <w:rsid w:val="00CC3A35"/>
    <w:rsid w:val="00CC4DA1"/>
    <w:rsid w:val="00CD024E"/>
    <w:rsid w:val="00CD1E4A"/>
    <w:rsid w:val="00CD29B3"/>
    <w:rsid w:val="00CD32CC"/>
    <w:rsid w:val="00CD3F98"/>
    <w:rsid w:val="00CD41EF"/>
    <w:rsid w:val="00CD4DE3"/>
    <w:rsid w:val="00CE1CC6"/>
    <w:rsid w:val="00CE29CF"/>
    <w:rsid w:val="00CE48C4"/>
    <w:rsid w:val="00CE6113"/>
    <w:rsid w:val="00CE6565"/>
    <w:rsid w:val="00CF24B7"/>
    <w:rsid w:val="00CF4AED"/>
    <w:rsid w:val="00CF57F5"/>
    <w:rsid w:val="00CF633B"/>
    <w:rsid w:val="00CF731D"/>
    <w:rsid w:val="00D0031E"/>
    <w:rsid w:val="00D00881"/>
    <w:rsid w:val="00D01B6A"/>
    <w:rsid w:val="00D06119"/>
    <w:rsid w:val="00D074E3"/>
    <w:rsid w:val="00D10549"/>
    <w:rsid w:val="00D16E1B"/>
    <w:rsid w:val="00D17CAE"/>
    <w:rsid w:val="00D22DBD"/>
    <w:rsid w:val="00D23419"/>
    <w:rsid w:val="00D25546"/>
    <w:rsid w:val="00D26521"/>
    <w:rsid w:val="00D26E14"/>
    <w:rsid w:val="00D275A5"/>
    <w:rsid w:val="00D33754"/>
    <w:rsid w:val="00D34EDB"/>
    <w:rsid w:val="00D37A3A"/>
    <w:rsid w:val="00D405EC"/>
    <w:rsid w:val="00D41931"/>
    <w:rsid w:val="00D42096"/>
    <w:rsid w:val="00D4771E"/>
    <w:rsid w:val="00D52818"/>
    <w:rsid w:val="00D5435B"/>
    <w:rsid w:val="00D61169"/>
    <w:rsid w:val="00D61460"/>
    <w:rsid w:val="00D61464"/>
    <w:rsid w:val="00D63A41"/>
    <w:rsid w:val="00D65EB9"/>
    <w:rsid w:val="00D66304"/>
    <w:rsid w:val="00D665A3"/>
    <w:rsid w:val="00D67361"/>
    <w:rsid w:val="00D67D6F"/>
    <w:rsid w:val="00D70974"/>
    <w:rsid w:val="00D72CCD"/>
    <w:rsid w:val="00D73C2F"/>
    <w:rsid w:val="00D759B7"/>
    <w:rsid w:val="00D7763A"/>
    <w:rsid w:val="00D81303"/>
    <w:rsid w:val="00D82212"/>
    <w:rsid w:val="00D833DB"/>
    <w:rsid w:val="00D839F7"/>
    <w:rsid w:val="00D83BC3"/>
    <w:rsid w:val="00D8693A"/>
    <w:rsid w:val="00D86C88"/>
    <w:rsid w:val="00D86FBD"/>
    <w:rsid w:val="00D90B55"/>
    <w:rsid w:val="00D92E07"/>
    <w:rsid w:val="00D96ABB"/>
    <w:rsid w:val="00D971F8"/>
    <w:rsid w:val="00DA043F"/>
    <w:rsid w:val="00DA2948"/>
    <w:rsid w:val="00DA5BAB"/>
    <w:rsid w:val="00DA6020"/>
    <w:rsid w:val="00DA6420"/>
    <w:rsid w:val="00DB23A1"/>
    <w:rsid w:val="00DB4314"/>
    <w:rsid w:val="00DB7257"/>
    <w:rsid w:val="00DC1150"/>
    <w:rsid w:val="00DC2752"/>
    <w:rsid w:val="00DC2AFA"/>
    <w:rsid w:val="00DC3DCE"/>
    <w:rsid w:val="00DC64AB"/>
    <w:rsid w:val="00DC6622"/>
    <w:rsid w:val="00DC7396"/>
    <w:rsid w:val="00DD1F46"/>
    <w:rsid w:val="00DD3F8F"/>
    <w:rsid w:val="00DD5EA2"/>
    <w:rsid w:val="00DE0AAE"/>
    <w:rsid w:val="00DE0ACE"/>
    <w:rsid w:val="00DE3E6D"/>
    <w:rsid w:val="00DE6A96"/>
    <w:rsid w:val="00DF7122"/>
    <w:rsid w:val="00DF76CA"/>
    <w:rsid w:val="00E00EEE"/>
    <w:rsid w:val="00E03168"/>
    <w:rsid w:val="00E031B2"/>
    <w:rsid w:val="00E0457E"/>
    <w:rsid w:val="00E063CD"/>
    <w:rsid w:val="00E074D9"/>
    <w:rsid w:val="00E07514"/>
    <w:rsid w:val="00E101EF"/>
    <w:rsid w:val="00E10F7F"/>
    <w:rsid w:val="00E136A7"/>
    <w:rsid w:val="00E13AF1"/>
    <w:rsid w:val="00E13E14"/>
    <w:rsid w:val="00E17078"/>
    <w:rsid w:val="00E20704"/>
    <w:rsid w:val="00E30DFF"/>
    <w:rsid w:val="00E32D1B"/>
    <w:rsid w:val="00E33370"/>
    <w:rsid w:val="00E33E51"/>
    <w:rsid w:val="00E34AEA"/>
    <w:rsid w:val="00E35C34"/>
    <w:rsid w:val="00E40DC9"/>
    <w:rsid w:val="00E41F67"/>
    <w:rsid w:val="00E44CA1"/>
    <w:rsid w:val="00E500D5"/>
    <w:rsid w:val="00E51DC4"/>
    <w:rsid w:val="00E5410B"/>
    <w:rsid w:val="00E55CED"/>
    <w:rsid w:val="00E56A3E"/>
    <w:rsid w:val="00E6085C"/>
    <w:rsid w:val="00E60B97"/>
    <w:rsid w:val="00E62183"/>
    <w:rsid w:val="00E62499"/>
    <w:rsid w:val="00E65C3D"/>
    <w:rsid w:val="00E70232"/>
    <w:rsid w:val="00E71ADF"/>
    <w:rsid w:val="00E72033"/>
    <w:rsid w:val="00E724F5"/>
    <w:rsid w:val="00E72589"/>
    <w:rsid w:val="00E7287E"/>
    <w:rsid w:val="00E77F8D"/>
    <w:rsid w:val="00E810E8"/>
    <w:rsid w:val="00E82454"/>
    <w:rsid w:val="00E839A2"/>
    <w:rsid w:val="00E83ED2"/>
    <w:rsid w:val="00E8585F"/>
    <w:rsid w:val="00E879F9"/>
    <w:rsid w:val="00E903FB"/>
    <w:rsid w:val="00E9151B"/>
    <w:rsid w:val="00E94F21"/>
    <w:rsid w:val="00E956F9"/>
    <w:rsid w:val="00E96832"/>
    <w:rsid w:val="00EA03D3"/>
    <w:rsid w:val="00EA6D33"/>
    <w:rsid w:val="00EB0B13"/>
    <w:rsid w:val="00EB1DAC"/>
    <w:rsid w:val="00EB331B"/>
    <w:rsid w:val="00EB4D60"/>
    <w:rsid w:val="00EC005D"/>
    <w:rsid w:val="00EC45AF"/>
    <w:rsid w:val="00EC4681"/>
    <w:rsid w:val="00EC63AF"/>
    <w:rsid w:val="00EC66D1"/>
    <w:rsid w:val="00EC7AD5"/>
    <w:rsid w:val="00ED38FD"/>
    <w:rsid w:val="00ED5714"/>
    <w:rsid w:val="00EE1BCC"/>
    <w:rsid w:val="00EE3E33"/>
    <w:rsid w:val="00EF2A86"/>
    <w:rsid w:val="00EF3F81"/>
    <w:rsid w:val="00EF45DF"/>
    <w:rsid w:val="00EF57A2"/>
    <w:rsid w:val="00EF5DAA"/>
    <w:rsid w:val="00F045BC"/>
    <w:rsid w:val="00F05F2A"/>
    <w:rsid w:val="00F11811"/>
    <w:rsid w:val="00F1282B"/>
    <w:rsid w:val="00F1604B"/>
    <w:rsid w:val="00F21755"/>
    <w:rsid w:val="00F22AA9"/>
    <w:rsid w:val="00F23297"/>
    <w:rsid w:val="00F271EE"/>
    <w:rsid w:val="00F31DC9"/>
    <w:rsid w:val="00F32C6E"/>
    <w:rsid w:val="00F3460D"/>
    <w:rsid w:val="00F35688"/>
    <w:rsid w:val="00F36B0A"/>
    <w:rsid w:val="00F43202"/>
    <w:rsid w:val="00F460AF"/>
    <w:rsid w:val="00F46B84"/>
    <w:rsid w:val="00F51288"/>
    <w:rsid w:val="00F52EE5"/>
    <w:rsid w:val="00F53525"/>
    <w:rsid w:val="00F53C86"/>
    <w:rsid w:val="00F55A5C"/>
    <w:rsid w:val="00F62644"/>
    <w:rsid w:val="00F6298C"/>
    <w:rsid w:val="00F63EB3"/>
    <w:rsid w:val="00F72687"/>
    <w:rsid w:val="00F72E94"/>
    <w:rsid w:val="00F733FE"/>
    <w:rsid w:val="00F73931"/>
    <w:rsid w:val="00F75926"/>
    <w:rsid w:val="00F76900"/>
    <w:rsid w:val="00F803BB"/>
    <w:rsid w:val="00F80E10"/>
    <w:rsid w:val="00F814B4"/>
    <w:rsid w:val="00F901F0"/>
    <w:rsid w:val="00F92A0A"/>
    <w:rsid w:val="00F93510"/>
    <w:rsid w:val="00F935AB"/>
    <w:rsid w:val="00F944A8"/>
    <w:rsid w:val="00FA3AF9"/>
    <w:rsid w:val="00FA4285"/>
    <w:rsid w:val="00FA6333"/>
    <w:rsid w:val="00FA7756"/>
    <w:rsid w:val="00FB3CBC"/>
    <w:rsid w:val="00FB42B2"/>
    <w:rsid w:val="00FB661B"/>
    <w:rsid w:val="00FC1ADF"/>
    <w:rsid w:val="00FC25F3"/>
    <w:rsid w:val="00FC321B"/>
    <w:rsid w:val="00FC491F"/>
    <w:rsid w:val="00FC685C"/>
    <w:rsid w:val="00FC7354"/>
    <w:rsid w:val="00FD2073"/>
    <w:rsid w:val="00FD2E45"/>
    <w:rsid w:val="00FD2E8B"/>
    <w:rsid w:val="00FD3554"/>
    <w:rsid w:val="00FD5283"/>
    <w:rsid w:val="00FE00E7"/>
    <w:rsid w:val="00FE0638"/>
    <w:rsid w:val="00FE138C"/>
    <w:rsid w:val="00FE14A4"/>
    <w:rsid w:val="00FE319C"/>
    <w:rsid w:val="00FE4CEB"/>
    <w:rsid w:val="00FE65A8"/>
    <w:rsid w:val="00FE6905"/>
    <w:rsid w:val="00FF0ABB"/>
    <w:rsid w:val="00FF0FE0"/>
    <w:rsid w:val="00FF3553"/>
    <w:rsid w:val="00FF459E"/>
    <w:rsid w:val="00FF5E27"/>
    <w:rsid w:val="00FF70D5"/>
    <w:rsid w:val="464C71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qFormat="1" w:uiPriority="39" w:semiHidden="0"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eastAsia="仿宋" w:asciiTheme="minorHAnsi" w:hAnsiTheme="minorHAnsi" w:cstheme="minorBidi"/>
      <w:kern w:val="2"/>
      <w:sz w:val="24"/>
      <w:szCs w:val="22"/>
      <w:lang w:val="en-US" w:eastAsia="zh-CN" w:bidi="ar-SA"/>
    </w:rPr>
  </w:style>
  <w:style w:type="paragraph" w:styleId="2">
    <w:name w:val="heading 1"/>
    <w:basedOn w:val="1"/>
    <w:next w:val="1"/>
    <w:link w:val="21"/>
    <w:qFormat/>
    <w:uiPriority w:val="9"/>
    <w:pPr>
      <w:keepNext/>
      <w:widowControl/>
      <w:ind w:firstLine="0" w:firstLineChars="0"/>
      <w:jc w:val="left"/>
      <w:outlineLvl w:val="0"/>
    </w:pPr>
    <w:rPr>
      <w:rFonts w:cs="宋体" w:asciiTheme="majorHAnsi" w:hAnsiTheme="majorHAnsi"/>
      <w:b/>
      <w:bCs/>
      <w:kern w:val="32"/>
      <w:szCs w:val="32"/>
    </w:rPr>
  </w:style>
  <w:style w:type="paragraph" w:styleId="3">
    <w:name w:val="heading 2"/>
    <w:basedOn w:val="1"/>
    <w:next w:val="1"/>
    <w:link w:val="2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Body Text"/>
    <w:basedOn w:val="1"/>
    <w:next w:val="6"/>
    <w:link w:val="28"/>
    <w:qFormat/>
    <w:uiPriority w:val="0"/>
    <w:pPr>
      <w:spacing w:after="120" w:line="240" w:lineRule="auto"/>
    </w:pPr>
    <w:rPr>
      <w:rFonts w:ascii="Calibri" w:hAnsi="Calibri" w:eastAsia="宋体" w:cs="Times New Roman"/>
      <w:sz w:val="21"/>
      <w:szCs w:val="24"/>
    </w:rPr>
  </w:style>
  <w:style w:type="paragraph" w:styleId="6">
    <w:name w:val="toc 5"/>
    <w:basedOn w:val="1"/>
    <w:next w:val="1"/>
    <w:autoRedefine/>
    <w:unhideWhenUsed/>
    <w:qFormat/>
    <w:uiPriority w:val="39"/>
    <w:pPr>
      <w:ind w:firstLine="482"/>
    </w:pPr>
    <w:rPr>
      <w:b/>
      <w:bCs/>
      <w:color w:val="4472C4" w:themeColor="accent1"/>
      <w14:textFill>
        <w14:solidFill>
          <w14:schemeClr w14:val="accent1"/>
        </w14:solidFill>
      </w14:textFill>
    </w:rPr>
  </w:style>
  <w:style w:type="paragraph" w:styleId="7">
    <w:name w:val="toc 3"/>
    <w:basedOn w:val="1"/>
    <w:next w:val="1"/>
    <w:autoRedefine/>
    <w:unhideWhenUsed/>
    <w:qFormat/>
    <w:uiPriority w:val="39"/>
    <w:pPr>
      <w:widowControl/>
      <w:spacing w:after="100" w:line="259" w:lineRule="auto"/>
      <w:ind w:left="440" w:firstLine="0" w:firstLineChars="0"/>
      <w:jc w:val="left"/>
    </w:pPr>
    <w:rPr>
      <w:rFonts w:cs="Times New Roman" w:eastAsiaTheme="minorEastAsia"/>
      <w:kern w:val="0"/>
      <w:sz w:val="22"/>
    </w:rPr>
  </w:style>
  <w:style w:type="paragraph" w:styleId="8">
    <w:name w:val="Date"/>
    <w:basedOn w:val="1"/>
    <w:next w:val="1"/>
    <w:link w:val="35"/>
    <w:semiHidden/>
    <w:unhideWhenUsed/>
    <w:qFormat/>
    <w:uiPriority w:val="99"/>
    <w:pPr>
      <w:ind w:left="100" w:leftChars="2500"/>
    </w:pPr>
  </w:style>
  <w:style w:type="paragraph" w:styleId="9">
    <w:name w:val="Body Text Indent 2"/>
    <w:basedOn w:val="1"/>
    <w:link w:val="43"/>
    <w:semiHidden/>
    <w:unhideWhenUsed/>
    <w:qFormat/>
    <w:uiPriority w:val="99"/>
    <w:pPr>
      <w:spacing w:after="120" w:line="480" w:lineRule="auto"/>
      <w:ind w:left="420" w:leftChars="200"/>
    </w:pPr>
  </w:style>
  <w:style w:type="paragraph" w:styleId="10">
    <w:name w:val="footer"/>
    <w:basedOn w:val="1"/>
    <w:link w:val="25"/>
    <w:unhideWhenUsed/>
    <w:qFormat/>
    <w:uiPriority w:val="99"/>
    <w:pPr>
      <w:tabs>
        <w:tab w:val="center" w:pos="4153"/>
        <w:tab w:val="right" w:pos="8306"/>
      </w:tabs>
      <w:snapToGrid w:val="0"/>
      <w:jc w:val="left"/>
    </w:pPr>
    <w:rPr>
      <w:sz w:val="18"/>
      <w:szCs w:val="18"/>
    </w:rPr>
  </w:style>
  <w:style w:type="paragraph" w:styleId="11">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unhideWhenUsed/>
    <w:qFormat/>
    <w:uiPriority w:val="39"/>
    <w:pPr>
      <w:widowControl/>
      <w:spacing w:after="100" w:line="259" w:lineRule="auto"/>
      <w:ind w:firstLine="0" w:firstLineChars="0"/>
      <w:jc w:val="left"/>
    </w:pPr>
    <w:rPr>
      <w:rFonts w:cs="Times New Roman" w:eastAsiaTheme="minorEastAsia"/>
      <w:kern w:val="0"/>
      <w:sz w:val="22"/>
    </w:rPr>
  </w:style>
  <w:style w:type="paragraph" w:styleId="13">
    <w:name w:val="toc 2"/>
    <w:basedOn w:val="1"/>
    <w:next w:val="1"/>
    <w:autoRedefine/>
    <w:unhideWhenUsed/>
    <w:qFormat/>
    <w:uiPriority w:val="39"/>
    <w:pPr>
      <w:widowControl/>
      <w:spacing w:after="100" w:line="259" w:lineRule="auto"/>
      <w:ind w:left="220" w:firstLine="0" w:firstLineChars="0"/>
      <w:jc w:val="left"/>
    </w:pPr>
    <w:rPr>
      <w:rFonts w:cs="Times New Roman" w:eastAsiaTheme="minorEastAsia"/>
      <w:kern w:val="0"/>
      <w:sz w:val="22"/>
    </w:rPr>
  </w:style>
  <w:style w:type="paragraph" w:styleId="14">
    <w:name w:val="Normal (Web)"/>
    <w:basedOn w:val="1"/>
    <w:unhideWhenUsed/>
    <w:uiPriority w:val="99"/>
    <w:pPr>
      <w:widowControl/>
      <w:spacing w:before="100" w:beforeAutospacing="1" w:after="100" w:afterAutospacing="1" w:line="240" w:lineRule="auto"/>
      <w:jc w:val="left"/>
    </w:pPr>
    <w:rPr>
      <w:rFonts w:ascii="宋体" w:hAnsi="宋体" w:eastAsia="宋体" w:cs="宋体"/>
      <w:kern w:val="0"/>
      <w:szCs w:val="24"/>
    </w:rPr>
  </w:style>
  <w:style w:type="table" w:styleId="16">
    <w:name w:val="Table Grid"/>
    <w:basedOn w:val="1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22"/>
    <w:rPr>
      <w:b/>
      <w:bCs/>
    </w:rPr>
  </w:style>
  <w:style w:type="character" w:styleId="19">
    <w:name w:val="Emphasis"/>
    <w:qFormat/>
    <w:uiPriority w:val="0"/>
    <w:rPr>
      <w:i/>
    </w:rPr>
  </w:style>
  <w:style w:type="character" w:styleId="20">
    <w:name w:val="Hyperlink"/>
    <w:basedOn w:val="17"/>
    <w:unhideWhenUsed/>
    <w:uiPriority w:val="99"/>
    <w:rPr>
      <w:color w:val="0563C1" w:themeColor="hyperlink"/>
      <w:u w:val="single"/>
      <w14:textFill>
        <w14:solidFill>
          <w14:schemeClr w14:val="hlink"/>
        </w14:solidFill>
      </w14:textFill>
    </w:rPr>
  </w:style>
  <w:style w:type="character" w:customStyle="1" w:styleId="21">
    <w:name w:val="标题 1 字符"/>
    <w:basedOn w:val="17"/>
    <w:link w:val="2"/>
    <w:qFormat/>
    <w:uiPriority w:val="9"/>
    <w:rPr>
      <w:rFonts w:eastAsia="仿宋" w:cs="宋体" w:asciiTheme="majorHAnsi" w:hAnsiTheme="majorHAnsi"/>
      <w:b/>
      <w:bCs/>
      <w:kern w:val="32"/>
      <w:sz w:val="24"/>
      <w:szCs w:val="32"/>
    </w:rPr>
  </w:style>
  <w:style w:type="paragraph" w:styleId="22">
    <w:name w:val="List Paragraph"/>
    <w:basedOn w:val="1"/>
    <w:qFormat/>
    <w:uiPriority w:val="34"/>
    <w:pPr>
      <w:widowControl/>
      <w:ind w:left="720"/>
      <w:contextualSpacing/>
      <w:jc w:val="left"/>
    </w:pPr>
    <w:rPr>
      <w:rFonts w:cs="Times New Roman"/>
      <w:kern w:val="0"/>
      <w:szCs w:val="24"/>
    </w:rPr>
  </w:style>
  <w:style w:type="table" w:customStyle="1" w:styleId="23">
    <w:name w:val="Grid Table 1 Light Accent 1"/>
    <w:basedOn w:val="15"/>
    <w:uiPriority w:val="46"/>
    <w:rPr>
      <w:rFonts w:cs="Times New Roman"/>
      <w:kern w:val="0"/>
      <w:sz w:val="22"/>
    </w:rPr>
    <w:tblPr>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Pr>
    <w:tblStylePr w:type="firstRow">
      <w:rPr>
        <w:b/>
        <w:bCs/>
      </w:rPr>
      <w:tcPr>
        <w:tcBorders>
          <w:bottom w:val="single" w:color="8EAADB" w:themeColor="accent1" w:themeTint="99" w:sz="12" w:space="0"/>
        </w:tcBorders>
      </w:tcPr>
    </w:tblStylePr>
    <w:tblStylePr w:type="lastRow">
      <w:rPr>
        <w:b/>
        <w:bCs/>
      </w:rPr>
      <w:tcPr>
        <w:tcBorders>
          <w:top w:val="double" w:color="8EAADB" w:themeColor="accent1" w:themeTint="99" w:sz="2" w:space="0"/>
        </w:tcBorders>
      </w:tcPr>
    </w:tblStylePr>
    <w:tblStylePr w:type="firstCol">
      <w:rPr>
        <w:b/>
        <w:bCs/>
      </w:rPr>
    </w:tblStylePr>
    <w:tblStylePr w:type="lastCol">
      <w:rPr>
        <w:b/>
        <w:bCs/>
      </w:rPr>
    </w:tblStylePr>
  </w:style>
  <w:style w:type="character" w:customStyle="1" w:styleId="24">
    <w:name w:val="页眉 字符"/>
    <w:basedOn w:val="17"/>
    <w:link w:val="11"/>
    <w:qFormat/>
    <w:uiPriority w:val="99"/>
    <w:rPr>
      <w:sz w:val="18"/>
      <w:szCs w:val="18"/>
    </w:rPr>
  </w:style>
  <w:style w:type="character" w:customStyle="1" w:styleId="25">
    <w:name w:val="页脚 字符"/>
    <w:basedOn w:val="17"/>
    <w:link w:val="10"/>
    <w:uiPriority w:val="99"/>
    <w:rPr>
      <w:sz w:val="18"/>
      <w:szCs w:val="18"/>
    </w:rPr>
  </w:style>
  <w:style w:type="character" w:customStyle="1" w:styleId="26">
    <w:name w:val="未处理的提及1"/>
    <w:basedOn w:val="17"/>
    <w:semiHidden/>
    <w:unhideWhenUsed/>
    <w:qFormat/>
    <w:uiPriority w:val="99"/>
    <w:rPr>
      <w:color w:val="605E5C"/>
      <w:shd w:val="clear" w:color="auto" w:fill="E1DFDD"/>
    </w:rPr>
  </w:style>
  <w:style w:type="character" w:customStyle="1" w:styleId="27">
    <w:name w:val="标题 2 字符"/>
    <w:basedOn w:val="17"/>
    <w:link w:val="3"/>
    <w:uiPriority w:val="9"/>
    <w:rPr>
      <w:rFonts w:asciiTheme="majorHAnsi" w:hAnsiTheme="majorHAnsi" w:eastAsiaTheme="majorEastAsia" w:cstheme="majorBidi"/>
      <w:b/>
      <w:bCs/>
      <w:sz w:val="32"/>
      <w:szCs w:val="32"/>
    </w:rPr>
  </w:style>
  <w:style w:type="character" w:customStyle="1" w:styleId="28">
    <w:name w:val="正文文本 字符"/>
    <w:basedOn w:val="17"/>
    <w:link w:val="5"/>
    <w:qFormat/>
    <w:uiPriority w:val="99"/>
    <w:rPr>
      <w:rFonts w:ascii="Calibri" w:hAnsi="Calibri" w:eastAsia="宋体" w:cs="Times New Roman"/>
      <w:szCs w:val="24"/>
    </w:rPr>
  </w:style>
  <w:style w:type="character" w:customStyle="1" w:styleId="29">
    <w:name w:val="标题 3 字符"/>
    <w:basedOn w:val="17"/>
    <w:link w:val="4"/>
    <w:uiPriority w:val="9"/>
    <w:rPr>
      <w:rFonts w:eastAsia="仿宋"/>
      <w:b/>
      <w:bCs/>
      <w:sz w:val="32"/>
      <w:szCs w:val="32"/>
    </w:rPr>
  </w:style>
  <w:style w:type="character" w:customStyle="1" w:styleId="30">
    <w:name w:val="bjh-p"/>
    <w:basedOn w:val="17"/>
    <w:uiPriority w:val="0"/>
  </w:style>
  <w:style w:type="character" w:customStyle="1" w:styleId="31">
    <w:name w:val="bjh-strong"/>
    <w:basedOn w:val="17"/>
    <w:uiPriority w:val="0"/>
  </w:style>
  <w:style w:type="paragraph" w:customStyle="1" w:styleId="32">
    <w:name w:val="_Style 5"/>
    <w:qFormat/>
    <w:uiPriority w:val="0"/>
    <w:pPr>
      <w:widowControl w:val="0"/>
      <w:ind w:firstLine="200" w:firstLineChars="200"/>
      <w:jc w:val="both"/>
    </w:pPr>
    <w:rPr>
      <w:rFonts w:ascii="Times New Roman" w:hAnsi="Times New Roman" w:eastAsia="宋体" w:cs="Times New Roman"/>
      <w:kern w:val="2"/>
      <w:sz w:val="24"/>
      <w:szCs w:val="20"/>
      <w:lang w:val="en-US" w:eastAsia="zh-CN" w:bidi="ar-SA"/>
    </w:rPr>
  </w:style>
  <w:style w:type="table" w:customStyle="1" w:styleId="33">
    <w:name w:val="Grid Table 4 Accent 5"/>
    <w:basedOn w:val="15"/>
    <w:qFormat/>
    <w:uiPriority w:val="49"/>
    <w:tblPr>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color w:val="FFFFFF" w:themeColor="background1"/>
        <w14:textFill>
          <w14:solidFill>
            <w14:schemeClr w14:val="bg1"/>
          </w14:solidFill>
        </w14:textFill>
      </w:rPr>
      <w:tcPr>
        <w:tcBorders>
          <w:top w:val="single" w:color="5B9BD5" w:themeColor="accent5" w:sz="4" w:space="0"/>
          <w:left w:val="single" w:color="5B9BD5" w:themeColor="accent5" w:sz="4" w:space="0"/>
          <w:bottom w:val="single" w:color="5B9BD5" w:themeColor="accent5" w:sz="4" w:space="0"/>
          <w:right w:val="single" w:color="5B9BD5" w:themeColor="accent5" w:sz="4" w:space="0"/>
          <w:insideH w:val="nil"/>
          <w:insideV w:val="nil"/>
        </w:tcBorders>
        <w:shd w:val="clear" w:color="auto" w:fill="5B9BD5" w:themeFill="accent5"/>
      </w:tcPr>
    </w:tblStylePr>
    <w:tblStylePr w:type="lastRow">
      <w:rPr>
        <w:b/>
        <w:bCs/>
      </w:rPr>
      <w:tcPr>
        <w:tcBorders>
          <w:top w:val="double" w:color="5B9BD5" w:themeColor="accent5" w:sz="4" w:space="0"/>
        </w:tcBorders>
      </w:tcPr>
    </w:tblStylePr>
    <w:tblStylePr w:type="firstCol">
      <w:rPr>
        <w:b/>
        <w:bCs/>
      </w:rPr>
    </w:tblStylePr>
    <w:tblStylePr w:type="lastCol">
      <w:rPr>
        <w:b/>
        <w:bCs/>
      </w:rPr>
    </w:tblStylePr>
    <w:tblStylePr w:type="band1Vert">
      <w:tcPr>
        <w:shd w:val="clear" w:color="auto" w:fill="DEEAF6" w:themeFill="accent5" w:themeFillTint="33"/>
      </w:tcPr>
    </w:tblStylePr>
    <w:tblStylePr w:type="band1Horz">
      <w:tcPr>
        <w:shd w:val="clear" w:color="auto" w:fill="DEEAF6" w:themeFill="accent5" w:themeFillTint="33"/>
      </w:tcPr>
    </w:tblStylePr>
  </w:style>
  <w:style w:type="table" w:customStyle="1" w:styleId="34">
    <w:name w:val="Grid Table 4 Accent 1"/>
    <w:basedOn w:val="15"/>
    <w:qFormat/>
    <w:uiPriority w:val="49"/>
    <w:tblPr>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color w:val="FFFFFF" w:themeColor="background1"/>
        <w14:textFill>
          <w14:solidFill>
            <w14:schemeClr w14:val="bg1"/>
          </w14:solidFill>
        </w14:textFill>
      </w:r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insideV w:val="nil"/>
        </w:tcBorders>
        <w:shd w:val="clear" w:color="auto" w:fill="4472C4" w:themeFill="accent1"/>
      </w:tcPr>
    </w:tblStylePr>
    <w:tblStylePr w:type="lastRow">
      <w:rPr>
        <w:b/>
        <w:bCs/>
      </w:rPr>
      <w:tcPr>
        <w:tcBorders>
          <w:top w:val="double" w:color="4472C4" w:themeColor="accent1" w:sz="4" w:space="0"/>
        </w:tcBorders>
      </w:tcPr>
    </w:tblStylePr>
    <w:tblStylePr w:type="firstCol">
      <w:rPr>
        <w:b/>
        <w:bCs/>
      </w:rPr>
    </w:tblStylePr>
    <w:tblStylePr w:type="lastCol">
      <w:rPr>
        <w:b/>
        <w:bCs/>
      </w:rPr>
    </w:tblStylePr>
    <w:tblStylePr w:type="band1Vert">
      <w:tcPr>
        <w:shd w:val="clear" w:color="auto" w:fill="D9E2F3" w:themeFill="accent1" w:themeFillTint="33"/>
      </w:tcPr>
    </w:tblStylePr>
    <w:tblStylePr w:type="band1Horz">
      <w:tcPr>
        <w:shd w:val="clear" w:color="auto" w:fill="D9E2F3" w:themeFill="accent1" w:themeFillTint="33"/>
      </w:tcPr>
    </w:tblStylePr>
  </w:style>
  <w:style w:type="character" w:customStyle="1" w:styleId="35">
    <w:name w:val="日期 字符"/>
    <w:basedOn w:val="17"/>
    <w:link w:val="8"/>
    <w:semiHidden/>
    <w:qFormat/>
    <w:uiPriority w:val="99"/>
    <w:rPr>
      <w:rFonts w:eastAsia="仿宋"/>
      <w:sz w:val="24"/>
    </w:rPr>
  </w:style>
  <w:style w:type="character" w:customStyle="1" w:styleId="36">
    <w:name w:val="Unresolved Mention"/>
    <w:basedOn w:val="17"/>
    <w:semiHidden/>
    <w:unhideWhenUsed/>
    <w:uiPriority w:val="99"/>
    <w:rPr>
      <w:color w:val="605E5C"/>
      <w:shd w:val="clear" w:color="auto" w:fill="E1DFDD"/>
    </w:rPr>
  </w:style>
  <w:style w:type="paragraph" w:customStyle="1" w:styleId="37">
    <w:name w:val="Revision"/>
    <w:hidden/>
    <w:semiHidden/>
    <w:qFormat/>
    <w:uiPriority w:val="99"/>
    <w:rPr>
      <w:rFonts w:eastAsia="仿宋" w:asciiTheme="minorHAnsi" w:hAnsiTheme="minorHAnsi" w:cstheme="minorBidi"/>
      <w:kern w:val="2"/>
      <w:sz w:val="24"/>
      <w:szCs w:val="22"/>
      <w:lang w:val="en-US" w:eastAsia="zh-CN" w:bidi="ar-SA"/>
    </w:rPr>
  </w:style>
  <w:style w:type="paragraph" w:customStyle="1" w:styleId="38">
    <w:name w:val="a正文"/>
    <w:basedOn w:val="1"/>
    <w:link w:val="39"/>
    <w:qFormat/>
    <w:uiPriority w:val="0"/>
    <w:pPr>
      <w:widowControl/>
      <w:topLinePunct/>
    </w:pPr>
    <w:rPr>
      <w:rFonts w:ascii="Times New Roman" w:hAnsi="Times New Roman"/>
      <w:kern w:val="0"/>
      <w:szCs w:val="24"/>
    </w:rPr>
  </w:style>
  <w:style w:type="character" w:customStyle="1" w:styleId="39">
    <w:name w:val="a正文 Char"/>
    <w:basedOn w:val="17"/>
    <w:link w:val="38"/>
    <w:qFormat/>
    <w:uiPriority w:val="0"/>
    <w:rPr>
      <w:rFonts w:ascii="Times New Roman" w:hAnsi="Times New Roman" w:eastAsia="仿宋"/>
      <w:kern w:val="0"/>
      <w:sz w:val="24"/>
      <w:szCs w:val="24"/>
    </w:rPr>
  </w:style>
  <w:style w:type="table" w:customStyle="1" w:styleId="40">
    <w:name w:val="Grid Table 6 Colorful Accent 5"/>
    <w:basedOn w:val="15"/>
    <w:qFormat/>
    <w:uiPriority w:val="51"/>
    <w:rPr>
      <w:color w:val="2E75B6" w:themeColor="accent5" w:themeShade="BF"/>
    </w:rPr>
    <w:tblPr>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rPr>
      <w:tcPr>
        <w:tcBorders>
          <w:bottom w:val="single" w:color="9CC2E5" w:themeColor="accent5" w:themeTint="99" w:sz="12" w:space="0"/>
        </w:tcBorders>
      </w:tcPr>
    </w:tblStylePr>
    <w:tblStylePr w:type="lastRow">
      <w:rPr>
        <w:b/>
        <w:bCs/>
      </w:rPr>
      <w:tcPr>
        <w:tcBorders>
          <w:top w:val="double" w:color="9CC2E5" w:themeColor="accent5" w:themeTint="99" w:sz="4" w:space="0"/>
        </w:tcBorders>
      </w:tcPr>
    </w:tblStylePr>
    <w:tblStylePr w:type="firstCol">
      <w:rPr>
        <w:b/>
        <w:bCs/>
      </w:rPr>
    </w:tblStylePr>
    <w:tblStylePr w:type="lastCol">
      <w:rPr>
        <w:b/>
        <w:bCs/>
      </w:rPr>
    </w:tblStylePr>
    <w:tblStylePr w:type="band1Vert">
      <w:tcPr>
        <w:shd w:val="clear" w:color="auto" w:fill="DEEAF6" w:themeFill="accent5" w:themeFillTint="33"/>
      </w:tcPr>
    </w:tblStylePr>
    <w:tblStylePr w:type="band1Horz">
      <w:tcPr>
        <w:shd w:val="clear" w:color="auto" w:fill="DEEAF6" w:themeFill="accent5" w:themeFillTint="33"/>
      </w:tcPr>
    </w:tblStylePr>
  </w:style>
  <w:style w:type="paragraph" w:customStyle="1" w:styleId="41">
    <w:name w:val="TOC Heading"/>
    <w:basedOn w:val="2"/>
    <w:next w:val="1"/>
    <w:unhideWhenUsed/>
    <w:qFormat/>
    <w:uiPriority w:val="39"/>
    <w:pPr>
      <w:keepLines/>
      <w:spacing w:before="240" w:line="259" w:lineRule="auto"/>
      <w:outlineLvl w:val="9"/>
    </w:pPr>
    <w:rPr>
      <w:rFonts w:eastAsiaTheme="majorEastAsia" w:cstheme="majorBidi"/>
      <w:b w:val="0"/>
      <w:bCs w:val="0"/>
      <w:color w:val="2F5597" w:themeColor="accent1" w:themeShade="BF"/>
      <w:kern w:val="0"/>
      <w:sz w:val="32"/>
    </w:rPr>
  </w:style>
  <w:style w:type="table" w:customStyle="1" w:styleId="42">
    <w:name w:val="Grid Table 3 Accent 5"/>
    <w:basedOn w:val="15"/>
    <w:qFormat/>
    <w:uiPriority w:val="48"/>
    <w:tblPr>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EEAF6" w:themeFill="accent5" w:themeFillTint="33"/>
      </w:tcPr>
    </w:tblStylePr>
    <w:tblStylePr w:type="band1Horz">
      <w:tcPr>
        <w:shd w:val="clear" w:color="auto" w:fill="DEEAF6" w:themeFill="accent5" w:themeFillTint="33"/>
      </w:tcPr>
    </w:tblStylePr>
    <w:tblStylePr w:type="neCell">
      <w:tcPr>
        <w:tcBorders>
          <w:bottom w:val="single" w:color="9CC2E5" w:themeColor="accent5" w:themeTint="99" w:sz="4" w:space="0"/>
        </w:tcBorders>
      </w:tcPr>
    </w:tblStylePr>
    <w:tblStylePr w:type="nwCell">
      <w:tcPr>
        <w:tcBorders>
          <w:bottom w:val="single" w:color="9CC2E5" w:themeColor="accent5" w:themeTint="99" w:sz="4" w:space="0"/>
        </w:tcBorders>
      </w:tcPr>
    </w:tblStylePr>
    <w:tblStylePr w:type="seCell">
      <w:tcPr>
        <w:tcBorders>
          <w:top w:val="single" w:color="9CC2E5" w:themeColor="accent5" w:themeTint="99" w:sz="4" w:space="0"/>
        </w:tcBorders>
      </w:tcPr>
    </w:tblStylePr>
    <w:tblStylePr w:type="swCell">
      <w:tcPr>
        <w:tcBorders>
          <w:top w:val="single" w:color="9CC2E5" w:themeColor="accent5" w:themeTint="99" w:sz="4" w:space="0"/>
        </w:tcBorders>
      </w:tcPr>
    </w:tblStylePr>
  </w:style>
  <w:style w:type="character" w:customStyle="1" w:styleId="43">
    <w:name w:val="正文文本缩进 2 字符"/>
    <w:basedOn w:val="17"/>
    <w:link w:val="9"/>
    <w:semiHidden/>
    <w:uiPriority w:val="99"/>
    <w:rPr>
      <w:rFonts w:eastAsia="仿宋"/>
      <w:sz w:val="24"/>
    </w:rPr>
  </w:style>
  <w:style w:type="character" w:customStyle="1" w:styleId="44">
    <w:name w:val="wx_search_keyword_wrap"/>
    <w:basedOn w:val="17"/>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png"/><Relationship Id="rId22" Type="http://schemas.openxmlformats.org/officeDocument/2006/relationships/image" Target="media/image10.jpe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jpeg"/><Relationship Id="rId13" Type="http://schemas.openxmlformats.org/officeDocument/2006/relationships/theme" Target="theme/theme1.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98FB22-D9ED-4E42-96B4-6C7121E4702E}">
  <ds:schemaRefs/>
</ds:datastoreItem>
</file>

<file path=docProps/app.xml><?xml version="1.0" encoding="utf-8"?>
<Properties xmlns="http://schemas.openxmlformats.org/officeDocument/2006/extended-properties" xmlns:vt="http://schemas.openxmlformats.org/officeDocument/2006/docPropsVTypes">
  <Template>Normal</Template>
  <Pages>27</Pages>
  <Words>12244</Words>
  <Characters>13189</Characters>
  <Lines>137</Lines>
  <Paragraphs>38</Paragraphs>
  <TotalTime>479</TotalTime>
  <ScaleCrop>false</ScaleCrop>
  <LinksUpToDate>false</LinksUpToDate>
  <CharactersWithSpaces>13469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2024-07-01T06:21:00Z</dcterms:created>
  <dc:creator>微软中国</dc:creator>
  <cp:lastModifiedBy>含泪的微笑</cp:lastModifiedBy>
  <cp:lastPrinted>2024-07-04T01:48:00Z</cp:lastPrinted>
  <dcterms:modified xsi:type="dcterms:W3CDTF">2024-12-19T01:35:11Z</dcterms:modified>
  <cp:revision>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1FDC4EDE90B549EDB2E85107DCA73984_13</vt:lpwstr>
  </property>
</Properties>
</file>