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39354">
      <w:pPr>
        <w:ind w:firstLine="562"/>
        <w:jc w:val="center"/>
        <w:rPr>
          <w:rFonts w:hint="eastAsia" w:ascii="仿宋" w:hAnsi="仿宋"/>
          <w:b/>
          <w:bCs/>
          <w:sz w:val="28"/>
          <w:szCs w:val="32"/>
        </w:rPr>
      </w:pPr>
      <w:bookmarkStart w:id="60" w:name="_GoBack"/>
      <w:bookmarkEnd w:id="60"/>
      <w:r>
        <w:rPr>
          <w:rFonts w:ascii="仿宋" w:hAnsi="仿宋"/>
          <w:b/>
          <w:bCs/>
          <w:sz w:val="28"/>
          <w:szCs w:val="32"/>
        </w:rPr>
        <w:drawing>
          <wp:anchor distT="0" distB="0" distL="114300" distR="114300" simplePos="0" relativeHeight="251659264" behindDoc="1" locked="0" layoutInCell="1" allowOverlap="1">
            <wp:simplePos x="0" y="0"/>
            <wp:positionH relativeFrom="column">
              <wp:posOffset>-1297305</wp:posOffset>
            </wp:positionH>
            <wp:positionV relativeFrom="paragraph">
              <wp:posOffset>-1408430</wp:posOffset>
            </wp:positionV>
            <wp:extent cx="7713980" cy="10906760"/>
            <wp:effectExtent l="0" t="0" r="190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6432" cy="10938898"/>
                    </a:xfrm>
                    <a:prstGeom prst="rect">
                      <a:avLst/>
                    </a:prstGeom>
                  </pic:spPr>
                </pic:pic>
              </a:graphicData>
            </a:graphic>
          </wp:anchor>
        </w:drawing>
      </w:r>
    </w:p>
    <w:p w14:paraId="4D18DD8D">
      <w:pPr>
        <w:ind w:firstLine="562"/>
        <w:jc w:val="center"/>
        <w:rPr>
          <w:rFonts w:hint="eastAsia" w:ascii="仿宋" w:hAnsi="仿宋"/>
          <w:b/>
          <w:bCs/>
          <w:sz w:val="28"/>
          <w:szCs w:val="32"/>
        </w:rPr>
      </w:pPr>
    </w:p>
    <w:p w14:paraId="4A1E170D">
      <w:pPr>
        <w:ind w:firstLine="562"/>
        <w:jc w:val="center"/>
        <w:rPr>
          <w:rFonts w:hint="eastAsia" w:ascii="仿宋" w:hAnsi="仿宋"/>
          <w:b/>
          <w:bCs/>
          <w:sz w:val="28"/>
          <w:szCs w:val="32"/>
        </w:rPr>
      </w:pPr>
    </w:p>
    <w:p w14:paraId="6031C2C6">
      <w:pPr>
        <w:ind w:firstLine="562"/>
        <w:rPr>
          <w:rFonts w:hint="eastAsia" w:ascii="仿宋" w:hAnsi="仿宋"/>
          <w:b/>
          <w:bCs/>
          <w:sz w:val="28"/>
          <w:szCs w:val="32"/>
        </w:rPr>
      </w:pPr>
    </w:p>
    <w:p w14:paraId="243E238B">
      <w:pPr>
        <w:spacing w:line="1000" w:lineRule="exact"/>
        <w:ind w:firstLine="0" w:firstLineChars="0"/>
        <w:jc w:val="center"/>
        <w:rPr>
          <w:rFonts w:hint="eastAsia" w:ascii="仿宋" w:hAnsi="仿宋"/>
          <w:b/>
          <w:bCs/>
          <w:color w:val="FFFFFF" w:themeColor="background1"/>
          <w:sz w:val="72"/>
          <w:szCs w:val="72"/>
          <w14:textFill>
            <w14:solidFill>
              <w14:schemeClr w14:val="bg1"/>
            </w14:solidFill>
          </w14:textFill>
        </w:rPr>
      </w:pPr>
      <w:bookmarkStart w:id="0" w:name="_Hlk131690023"/>
    </w:p>
    <w:p w14:paraId="7028449B">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hint="eastAsia" w:ascii="微软雅黑" w:hAnsi="微软雅黑" w:eastAsia="微软雅黑"/>
          <w:b/>
          <w:bCs/>
          <w:color w:val="FFFFFF" w:themeColor="background1"/>
          <w:sz w:val="72"/>
          <w:szCs w:val="72"/>
          <w14:textFill>
            <w14:solidFill>
              <w14:schemeClr w14:val="bg1"/>
            </w14:solidFill>
          </w14:textFill>
        </w:rPr>
        <w:t>中国</w:t>
      </w:r>
      <w:r>
        <w:rPr>
          <w:rFonts w:ascii="微软雅黑" w:hAnsi="微软雅黑" w:eastAsia="微软雅黑"/>
          <w:b/>
          <w:bCs/>
          <w:color w:val="FFFFFF" w:themeColor="background1"/>
          <w:sz w:val="72"/>
          <w:szCs w:val="72"/>
          <w14:textFill>
            <w14:solidFill>
              <w14:schemeClr w14:val="bg1"/>
            </w14:solidFill>
          </w14:textFill>
        </w:rPr>
        <w:t>城市轨道交通</w:t>
      </w:r>
    </w:p>
    <w:p w14:paraId="07C8AD2C">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ascii="微软雅黑" w:hAnsi="微软雅黑" w:eastAsia="微软雅黑"/>
          <w:b/>
          <w:bCs/>
          <w:color w:val="FFFFFF" w:themeColor="background1"/>
          <w:sz w:val="72"/>
          <w:szCs w:val="72"/>
          <w14:textFill>
            <w14:solidFill>
              <w14:schemeClr w14:val="bg1"/>
            </w14:solidFill>
          </w14:textFill>
        </w:rPr>
        <w:t>TOD监测月报</w:t>
      </w:r>
    </w:p>
    <w:p w14:paraId="3713389D">
      <w:pPr>
        <w:spacing w:line="1000" w:lineRule="exact"/>
        <w:ind w:firstLine="0" w:firstLineChars="0"/>
        <w:jc w:val="center"/>
        <w:rPr>
          <w:rFonts w:hint="eastAsia" w:ascii="微软雅黑" w:hAnsi="微软雅黑" w:eastAsia="微软雅黑"/>
          <w:color w:val="FFFFFF" w:themeColor="background1"/>
          <w:sz w:val="32"/>
          <w:szCs w:val="32"/>
          <w14:textFill>
            <w14:solidFill>
              <w14:schemeClr w14:val="bg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474" w:footer="992" w:gutter="0"/>
          <w:pgNumType w:start="1"/>
          <w:cols w:space="425" w:num="1"/>
          <w:titlePg/>
          <w:docGrid w:type="lines" w:linePitch="326" w:charSpace="0"/>
        </w:sectPr>
      </w:pPr>
      <w:r>
        <w:rPr>
          <w:rFonts w:ascii="微软雅黑" w:hAnsi="微软雅黑" w:eastAsia="微软雅黑"/>
          <w:color w:val="FFFFFF" w:themeColor="background1"/>
          <w:sz w:val="32"/>
          <w:szCs w:val="32"/>
          <w14:textFill>
            <w14:solidFill>
              <w14:schemeClr w14:val="bg1"/>
            </w14:solidFill>
          </w14:textFill>
        </w:rPr>
        <w:t>（</w:t>
      </w:r>
      <w:bookmarkEnd w:id="0"/>
      <w:r>
        <w:rPr>
          <w:rFonts w:ascii="微软雅黑" w:hAnsi="微软雅黑" w:eastAsia="微软雅黑"/>
          <w:color w:val="FFFFFF" w:themeColor="background1"/>
          <w:sz w:val="32"/>
          <w:szCs w:val="32"/>
          <w14:textFill>
            <w14:solidFill>
              <w14:schemeClr w14:val="bg1"/>
            </w14:solidFill>
          </w14:textFill>
        </w:rPr>
        <w:t>2024年</w:t>
      </w:r>
      <w:r>
        <w:rPr>
          <w:rFonts w:hint="eastAsia" w:ascii="微软雅黑" w:hAnsi="微软雅黑" w:eastAsia="微软雅黑"/>
          <w:color w:val="FFFFFF" w:themeColor="background1"/>
          <w:sz w:val="32"/>
          <w:szCs w:val="32"/>
          <w14:textFill>
            <w14:solidFill>
              <w14:schemeClr w14:val="bg1"/>
            </w14:solidFill>
          </w14:textFill>
        </w:rPr>
        <w:t>9</w:t>
      </w:r>
      <w:r>
        <w:rPr>
          <w:rFonts w:ascii="微软雅黑" w:hAnsi="微软雅黑" w:eastAsia="微软雅黑"/>
          <w:color w:val="FFFFFF" w:themeColor="background1"/>
          <w:sz w:val="32"/>
          <w:szCs w:val="32"/>
          <w14:textFill>
            <w14:solidFill>
              <w14:schemeClr w14:val="bg1"/>
            </w14:solidFill>
          </w14:textFill>
        </w:rPr>
        <w:t>月）</w:t>
      </w:r>
    </w:p>
    <w:sdt>
      <w:sdtPr>
        <w:rPr>
          <w:rFonts w:ascii="仿宋" w:hAnsi="仿宋" w:eastAsia="仿宋" w:cstheme="minorBidi"/>
          <w:b/>
          <w:bCs/>
          <w:szCs w:val="22"/>
        </w:rPr>
        <w:id w:val="1723481355"/>
        <w:docPartObj>
          <w:docPartGallery w:val="Table of Contents"/>
          <w:docPartUnique/>
        </w:docPartObj>
      </w:sdtPr>
      <w:sdtEndPr>
        <w:rPr>
          <w:rFonts w:ascii="仿宋" w:hAnsi="仿宋" w:eastAsia="仿宋" w:cstheme="minorBidi"/>
          <w:b w:val="0"/>
          <w:bCs w:val="0"/>
          <w:szCs w:val="22"/>
          <w:lang w:val="zh-CN"/>
        </w:rPr>
      </w:sdtEndPr>
      <w:sdtContent>
        <w:p w14:paraId="62E3343E">
          <w:pPr>
            <w:pStyle w:val="42"/>
            <w:ind w:firstLine="482"/>
            <w:jc w:val="center"/>
            <w:rPr>
              <w:rStyle w:val="49"/>
              <w:rFonts w:hint="eastAsia" w:asciiTheme="minorEastAsia" w:hAnsiTheme="minorEastAsia" w:eastAsiaTheme="minorEastAsia"/>
            </w:rPr>
          </w:pPr>
          <w:bookmarkStart w:id="1" w:name="_Toc166095659"/>
          <w:bookmarkStart w:id="2" w:name="_Toc166169574"/>
          <w:bookmarkStart w:id="3" w:name="_Toc166311268"/>
          <w:r>
            <w:rPr>
              <w:rStyle w:val="49"/>
              <w:rFonts w:asciiTheme="minorEastAsia" w:hAnsiTheme="minorEastAsia" w:eastAsiaTheme="minorEastAsia"/>
            </w:rPr>
            <w:t>目录</w:t>
          </w:r>
          <w:bookmarkEnd w:id="1"/>
          <w:bookmarkEnd w:id="2"/>
          <w:bookmarkEnd w:id="3"/>
        </w:p>
        <w:p w14:paraId="1101A94E">
          <w:pPr>
            <w:pStyle w:val="17"/>
            <w:tabs>
              <w:tab w:val="right" w:leader="dot" w:pos="8296"/>
            </w:tabs>
            <w:rPr>
              <w:rFonts w:hint="eastAsia" w:cstheme="minorBidi"/>
              <w:kern w:val="2"/>
              <w:sz w:val="21"/>
              <w14:ligatures w14:val="standardContextual"/>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"_Toc179548818" </w:instrText>
          </w:r>
          <w:r>
            <w:fldChar w:fldCharType="separate"/>
          </w:r>
          <w:r>
            <w:rPr>
              <w:rStyle w:val="30"/>
              <w:rFonts w:hint="eastAsia" w:ascii="仿宋" w:hAnsi="仿宋"/>
              <w:kern w:val="44"/>
            </w:rPr>
            <w:t>摘要</w:t>
          </w:r>
          <w:r>
            <w:rPr>
              <w:rFonts w:hint="eastAsia"/>
            </w:rPr>
            <w:tab/>
          </w:r>
          <w:r>
            <w:rPr>
              <w:rFonts w:hint="eastAsia"/>
            </w:rPr>
            <w:fldChar w:fldCharType="begin"/>
          </w:r>
          <w:r>
            <w:rPr>
              <w:rFonts w:hint="eastAsia"/>
            </w:rPr>
            <w:instrText xml:space="preserve"> </w:instrText>
          </w:r>
          <w:r>
            <w:instrText xml:space="preserve">PAGEREF _Toc179548818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07C8BE2D">
          <w:pPr>
            <w:pStyle w:val="17"/>
            <w:tabs>
              <w:tab w:val="right" w:leader="dot" w:pos="8296"/>
            </w:tabs>
            <w:rPr>
              <w:rFonts w:hint="eastAsia" w:cstheme="minorBidi"/>
              <w:kern w:val="2"/>
              <w:sz w:val="21"/>
              <w14:ligatures w14:val="standardContextual"/>
            </w:rPr>
          </w:pPr>
          <w:r>
            <w:fldChar w:fldCharType="begin"/>
          </w:r>
          <w:r>
            <w:instrText xml:space="preserve"> HYPERLINK \l "_Toc179548819" </w:instrText>
          </w:r>
          <w:r>
            <w:fldChar w:fldCharType="separate"/>
          </w:r>
          <w:r>
            <w:rPr>
              <w:rStyle w:val="30"/>
              <w:rFonts w:hint="eastAsia" w:ascii="黑体" w:hAnsi="黑体" w:eastAsia="黑体"/>
              <w:kern w:val="44"/>
            </w:rPr>
            <w:t>一、政策动态</w:t>
          </w:r>
          <w:r>
            <w:rPr>
              <w:rFonts w:hint="eastAsia"/>
            </w:rPr>
            <w:tab/>
          </w:r>
          <w:r>
            <w:rPr>
              <w:rFonts w:hint="eastAsia"/>
            </w:rPr>
            <w:fldChar w:fldCharType="begin"/>
          </w:r>
          <w:r>
            <w:rPr>
              <w:rFonts w:hint="eastAsia"/>
            </w:rPr>
            <w:instrText xml:space="preserve"> </w:instrText>
          </w:r>
          <w:r>
            <w:instrText xml:space="preserve">PAGEREF _Toc179548819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3B347799">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"_Toc179548820" </w:instrText>
          </w:r>
          <w:r>
            <w:fldChar w:fldCharType="separate"/>
          </w:r>
          <w:r>
            <w:rPr>
              <w:rStyle w:val="30"/>
              <w:rFonts w:hint="eastAsia" w:ascii="仿宋" w:hAnsi="仿宋" w:cs="Arial"/>
            </w:rPr>
            <w:t>1.</w:t>
          </w:r>
          <w:r>
            <w:rPr>
              <w:rFonts w:hint="eastAsia" w:cstheme="minorBidi"/>
              <w:kern w:val="2"/>
              <w:sz w:val="21"/>
              <w14:ligatures w14:val="standardContextual"/>
            </w:rPr>
            <w:tab/>
          </w:r>
          <w:r>
            <w:rPr>
              <w:rStyle w:val="30"/>
              <w:rFonts w:hint="eastAsia" w:ascii="仿宋" w:hAnsi="仿宋" w:cs="Arial"/>
              <w:shd w:val="clear" w:color="auto" w:fill="FFFFFF"/>
            </w:rPr>
            <w:t>自然资源部印发《关于探索推进城市地下空间开发利用的指导意见》</w:t>
          </w:r>
          <w:r>
            <w:rPr>
              <w:rFonts w:hint="eastAsia"/>
            </w:rPr>
            <w:tab/>
          </w:r>
          <w:r>
            <w:rPr>
              <w:rFonts w:hint="eastAsia"/>
            </w:rPr>
            <w:fldChar w:fldCharType="begin"/>
          </w:r>
          <w:r>
            <w:rPr>
              <w:rFonts w:hint="eastAsia"/>
            </w:rPr>
            <w:instrText xml:space="preserve"> </w:instrText>
          </w:r>
          <w:r>
            <w:instrText xml:space="preserve">PAGEREF _Toc179548820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66DD0BB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"_Toc179548821" </w:instrText>
          </w:r>
          <w:r>
            <w:fldChar w:fldCharType="separate"/>
          </w:r>
          <w:r>
            <w:rPr>
              <w:rStyle w:val="30"/>
              <w:rFonts w:hint="eastAsia" w:ascii="仿宋" w:hAnsi="仿宋" w:cs="Arial"/>
            </w:rPr>
            <w:t>2.</w:t>
          </w:r>
          <w:r>
            <w:rPr>
              <w:rFonts w:hint="eastAsia" w:cstheme="minorBidi"/>
              <w:kern w:val="2"/>
              <w:sz w:val="21"/>
              <w14:ligatures w14:val="standardContextual"/>
            </w:rPr>
            <w:tab/>
          </w:r>
          <w:r>
            <w:rPr>
              <w:rStyle w:val="30"/>
              <w:rFonts w:hint="eastAsia" w:ascii="仿宋" w:hAnsi="仿宋" w:cs="Arial"/>
              <w:shd w:val="clear" w:color="auto" w:fill="FFFFFF"/>
            </w:rPr>
            <w:t>《城市轨道交通工程投资估算编制办法》公开征求意见</w:t>
          </w:r>
          <w:r>
            <w:rPr>
              <w:rFonts w:hint="eastAsia"/>
            </w:rPr>
            <w:tab/>
          </w:r>
          <w:r>
            <w:rPr>
              <w:rFonts w:hint="eastAsia"/>
            </w:rPr>
            <w:fldChar w:fldCharType="begin"/>
          </w:r>
          <w:r>
            <w:rPr>
              <w:rFonts w:hint="eastAsia"/>
            </w:rPr>
            <w:instrText xml:space="preserve"> </w:instrText>
          </w:r>
          <w:r>
            <w:instrText xml:space="preserve">PAGEREF _Toc179548821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49172AD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"_Toc179548822" </w:instrText>
          </w:r>
          <w:r>
            <w:fldChar w:fldCharType="separate"/>
          </w:r>
          <w:r>
            <w:rPr>
              <w:rStyle w:val="30"/>
              <w:rFonts w:hint="eastAsia" w:ascii="仿宋" w:hAnsi="仿宋"/>
              <w:lang w:bidi="ar"/>
            </w:rPr>
            <w:t>3.</w:t>
          </w:r>
          <w:r>
            <w:rPr>
              <w:rFonts w:hint="eastAsia" w:cstheme="minorBidi"/>
              <w:kern w:val="2"/>
              <w:sz w:val="21"/>
              <w14:ligatures w14:val="standardContextual"/>
            </w:rPr>
            <w:tab/>
          </w:r>
          <w:r>
            <w:rPr>
              <w:rStyle w:val="30"/>
              <w:rFonts w:hint="eastAsia" w:ascii="仿宋" w:hAnsi="仿宋"/>
              <w:shd w:val="clear" w:color="auto" w:fill="FFFFFF"/>
              <w:lang w:bidi="ar"/>
            </w:rPr>
            <w:t>交通运输部印发城市公共交通优先发展和绿色出行12个典型案例</w:t>
          </w:r>
          <w:r>
            <w:rPr>
              <w:rFonts w:hint="eastAsia"/>
            </w:rPr>
            <w:tab/>
          </w:r>
          <w:r>
            <w:rPr>
              <w:rFonts w:hint="eastAsia"/>
            </w:rPr>
            <w:fldChar w:fldCharType="begin"/>
          </w:r>
          <w:r>
            <w:rPr>
              <w:rFonts w:hint="eastAsia"/>
            </w:rPr>
            <w:instrText xml:space="preserve"> </w:instrText>
          </w:r>
          <w:r>
            <w:instrText xml:space="preserve">PAGEREF _Toc179548822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18D47A1E">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"_Toc179548823" </w:instrText>
          </w:r>
          <w:r>
            <w:fldChar w:fldCharType="separate"/>
          </w:r>
          <w:r>
            <w:rPr>
              <w:rStyle w:val="30"/>
              <w:rFonts w:hint="eastAsia" w:ascii="仿宋" w:hAnsi="仿宋" w:cs="Arial"/>
            </w:rPr>
            <w:t>4.</w:t>
          </w:r>
          <w:r>
            <w:rPr>
              <w:rFonts w:hint="eastAsia" w:cstheme="minorBidi"/>
              <w:kern w:val="2"/>
              <w:sz w:val="21"/>
              <w14:ligatures w14:val="standardContextual"/>
            </w:rPr>
            <w:tab/>
          </w:r>
          <w:r>
            <w:rPr>
              <w:rStyle w:val="30"/>
              <w:rFonts w:hint="eastAsia" w:ascii="仿宋" w:hAnsi="仿宋"/>
            </w:rPr>
            <w:t>《南宁市综合交通规划（2021-2035）》草案公示</w:t>
          </w:r>
          <w:r>
            <w:rPr>
              <w:rFonts w:hint="eastAsia"/>
            </w:rPr>
            <w:tab/>
          </w:r>
          <w:r>
            <w:rPr>
              <w:rFonts w:hint="eastAsia"/>
            </w:rPr>
            <w:fldChar w:fldCharType="begin"/>
          </w:r>
          <w:r>
            <w:rPr>
              <w:rFonts w:hint="eastAsia"/>
            </w:rPr>
            <w:instrText xml:space="preserve"> </w:instrText>
          </w:r>
          <w:r>
            <w:instrText xml:space="preserve">PAGEREF _Toc179548823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2A5D80DB">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"_Toc179548824" </w:instrText>
          </w:r>
          <w:r>
            <w:fldChar w:fldCharType="separate"/>
          </w:r>
          <w:r>
            <w:rPr>
              <w:rStyle w:val="30"/>
              <w:rFonts w:hint="eastAsia" w:ascii="仿宋" w:hAnsi="仿宋"/>
            </w:rPr>
            <w:t>5.</w:t>
          </w:r>
          <w:r>
            <w:rPr>
              <w:rFonts w:hint="eastAsia" w:cstheme="minorBidi"/>
              <w:kern w:val="2"/>
              <w:sz w:val="21"/>
              <w14:ligatures w14:val="standardContextual"/>
            </w:rPr>
            <w:tab/>
          </w:r>
          <w:r>
            <w:rPr>
              <w:rStyle w:val="30"/>
              <w:rFonts w:hint="eastAsia" w:ascii="仿宋" w:hAnsi="仿宋"/>
            </w:rPr>
            <w:t>《郑州都市圈发展规划》获国家发展改革委复函并正式印发</w:t>
          </w:r>
          <w:r>
            <w:rPr>
              <w:rFonts w:hint="eastAsia"/>
            </w:rPr>
            <w:tab/>
          </w:r>
          <w:r>
            <w:rPr>
              <w:rFonts w:hint="eastAsia"/>
            </w:rPr>
            <w:fldChar w:fldCharType="begin"/>
          </w:r>
          <w:r>
            <w:rPr>
              <w:rFonts w:hint="eastAsia"/>
            </w:rPr>
            <w:instrText xml:space="preserve"> </w:instrText>
          </w:r>
          <w:r>
            <w:instrText xml:space="preserve">PAGEREF _Toc179548824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60250EA0">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"_Toc179548825" </w:instrText>
          </w:r>
          <w:r>
            <w:fldChar w:fldCharType="separate"/>
          </w:r>
          <w:r>
            <w:rPr>
              <w:rStyle w:val="30"/>
              <w:rFonts w:hint="eastAsia" w:ascii="仿宋" w:hAnsi="仿宋"/>
            </w:rPr>
            <w:t>6.</w:t>
          </w:r>
          <w:r>
            <w:rPr>
              <w:rFonts w:hint="eastAsia" w:cstheme="minorBidi"/>
              <w:kern w:val="2"/>
              <w:sz w:val="21"/>
              <w14:ligatures w14:val="standardContextual"/>
            </w:rPr>
            <w:tab/>
          </w:r>
          <w:r>
            <w:rPr>
              <w:rStyle w:val="30"/>
              <w:rFonts w:hint="eastAsia" w:ascii="仿宋" w:hAnsi="仿宋"/>
            </w:rPr>
            <w:t>《天津市国土空间总体规划（2021—2035年）》印发</w:t>
          </w:r>
          <w:r>
            <w:rPr>
              <w:rFonts w:hint="eastAsia"/>
            </w:rPr>
            <w:tab/>
          </w:r>
          <w:r>
            <w:rPr>
              <w:rFonts w:hint="eastAsia"/>
            </w:rPr>
            <w:fldChar w:fldCharType="begin"/>
          </w:r>
          <w:r>
            <w:rPr>
              <w:rFonts w:hint="eastAsia"/>
            </w:rPr>
            <w:instrText xml:space="preserve"> </w:instrText>
          </w:r>
          <w:r>
            <w:instrText xml:space="preserve">PAGEREF _Toc179548825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8AEEB64">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"_Toc179548826" </w:instrText>
          </w:r>
          <w:r>
            <w:fldChar w:fldCharType="separate"/>
          </w:r>
          <w:r>
            <w:rPr>
              <w:rStyle w:val="30"/>
              <w:rFonts w:hint="eastAsia" w:ascii="仿宋" w:hAnsi="仿宋"/>
            </w:rPr>
            <w:t>7.</w:t>
          </w:r>
          <w:r>
            <w:rPr>
              <w:rFonts w:hint="eastAsia" w:cstheme="minorBidi"/>
              <w:kern w:val="2"/>
              <w:sz w:val="21"/>
              <w14:ligatures w14:val="standardContextual"/>
            </w:rPr>
            <w:tab/>
          </w:r>
          <w:r>
            <w:rPr>
              <w:rStyle w:val="30"/>
              <w:rFonts w:hint="eastAsia" w:ascii="仿宋" w:hAnsi="仿宋"/>
            </w:rPr>
            <w:t>国务院批复同意广州、南京、深圳和成都等四城国土空间总体规划</w:t>
          </w:r>
          <w:r>
            <w:rPr>
              <w:rFonts w:hint="eastAsia"/>
            </w:rPr>
            <w:tab/>
          </w:r>
          <w:r>
            <w:rPr>
              <w:rFonts w:hint="eastAsia"/>
            </w:rPr>
            <w:fldChar w:fldCharType="begin"/>
          </w:r>
          <w:r>
            <w:rPr>
              <w:rFonts w:hint="eastAsia"/>
            </w:rPr>
            <w:instrText xml:space="preserve"> </w:instrText>
          </w:r>
          <w:r>
            <w:instrText xml:space="preserve">PAGEREF _Toc179548826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398917F2">
          <w:pPr>
            <w:pStyle w:val="17"/>
            <w:tabs>
              <w:tab w:val="right" w:leader="dot" w:pos="8296"/>
            </w:tabs>
            <w:rPr>
              <w:rFonts w:hint="eastAsia" w:cstheme="minorBidi"/>
              <w:kern w:val="2"/>
              <w:sz w:val="21"/>
              <w14:ligatures w14:val="standardContextual"/>
            </w:rPr>
          </w:pPr>
          <w:r>
            <w:fldChar w:fldCharType="begin"/>
          </w:r>
          <w:r>
            <w:instrText xml:space="preserve"> HYPERLINK \l "_Toc179548827" </w:instrText>
          </w:r>
          <w:r>
            <w:fldChar w:fldCharType="separate"/>
          </w:r>
          <w:r>
            <w:rPr>
              <w:rStyle w:val="30"/>
              <w:rFonts w:hint="eastAsia" w:ascii="黑体" w:hAnsi="黑体" w:eastAsia="黑体"/>
              <w:kern w:val="44"/>
            </w:rPr>
            <w:t>二、行业动态</w:t>
          </w:r>
          <w:r>
            <w:rPr>
              <w:rFonts w:hint="eastAsia"/>
            </w:rPr>
            <w:tab/>
          </w:r>
          <w:r>
            <w:rPr>
              <w:rFonts w:hint="eastAsia"/>
            </w:rPr>
            <w:fldChar w:fldCharType="begin"/>
          </w:r>
          <w:r>
            <w:rPr>
              <w:rFonts w:hint="eastAsia"/>
            </w:rPr>
            <w:instrText xml:space="preserve"> </w:instrText>
          </w:r>
          <w:r>
            <w:instrText xml:space="preserve">PAGEREF _Toc179548827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B6876BB">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"_Toc179548828" </w:instrText>
          </w:r>
          <w:r>
            <w:fldChar w:fldCharType="separate"/>
          </w:r>
          <w:r>
            <w:rPr>
              <w:rStyle w:val="30"/>
              <w:rFonts w:hint="eastAsia" w:ascii="仿宋" w:hAnsi="仿宋"/>
              <w:lang w:bidi="ar"/>
            </w:rPr>
            <w:t>1.</w:t>
          </w:r>
          <w:r>
            <w:rPr>
              <w:rFonts w:hint="eastAsia" w:cstheme="minorBidi"/>
              <w:kern w:val="2"/>
              <w:sz w:val="21"/>
              <w14:ligatures w14:val="standardContextual"/>
            </w:rPr>
            <w:tab/>
          </w:r>
          <w:r>
            <w:rPr>
              <w:rStyle w:val="30"/>
              <w:rFonts w:hint="eastAsia" w:ascii="仿宋" w:hAnsi="仿宋"/>
              <w:shd w:val="clear" w:color="auto" w:fill="FFFFFF"/>
              <w:lang w:bidi="ar"/>
            </w:rPr>
            <w:t>北京市丰台区郭公庄车辆段一期公共租赁房项目设计方案变更</w:t>
          </w:r>
          <w:r>
            <w:rPr>
              <w:rFonts w:hint="eastAsia"/>
            </w:rPr>
            <w:tab/>
          </w:r>
          <w:r>
            <w:rPr>
              <w:rFonts w:hint="eastAsia"/>
            </w:rPr>
            <w:fldChar w:fldCharType="begin"/>
          </w:r>
          <w:r>
            <w:rPr>
              <w:rFonts w:hint="eastAsia"/>
            </w:rPr>
            <w:instrText xml:space="preserve"> </w:instrText>
          </w:r>
          <w:r>
            <w:instrText xml:space="preserve">PAGEREF _Toc179548828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19FB947">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"_Toc179548829" </w:instrText>
          </w:r>
          <w:r>
            <w:fldChar w:fldCharType="separate"/>
          </w:r>
          <w:r>
            <w:rPr>
              <w:rStyle w:val="30"/>
              <w:rFonts w:hint="eastAsia" w:ascii="仿宋" w:hAnsi="仿宋"/>
              <w:lang w:bidi="ar"/>
            </w:rPr>
            <w:t>2.</w:t>
          </w:r>
          <w:r>
            <w:rPr>
              <w:rFonts w:hint="eastAsia" w:cstheme="minorBidi"/>
              <w:kern w:val="2"/>
              <w:sz w:val="21"/>
              <w14:ligatures w14:val="standardContextual"/>
            </w:rPr>
            <w:tab/>
          </w:r>
          <w:r>
            <w:rPr>
              <w:rStyle w:val="30"/>
              <w:rFonts w:hint="eastAsia" w:ascii="仿宋" w:hAnsi="仿宋"/>
              <w:shd w:val="clear" w:color="auto" w:fill="FFFFFF"/>
              <w:lang w:bidi="ar"/>
            </w:rPr>
            <w:t>深港商办投资节正式启动，推售地铁沿线非住宅优质新盘</w:t>
          </w:r>
          <w:r>
            <w:rPr>
              <w:rFonts w:hint="eastAsia"/>
            </w:rPr>
            <w:tab/>
          </w:r>
          <w:r>
            <w:rPr>
              <w:rFonts w:hint="eastAsia"/>
            </w:rPr>
            <w:fldChar w:fldCharType="begin"/>
          </w:r>
          <w:r>
            <w:rPr>
              <w:rFonts w:hint="eastAsia"/>
            </w:rPr>
            <w:instrText xml:space="preserve"> </w:instrText>
          </w:r>
          <w:r>
            <w:instrText xml:space="preserve">PAGEREF _Toc179548829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793AE5C">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"_Toc179548830" </w:instrText>
          </w:r>
          <w:r>
            <w:fldChar w:fldCharType="separate"/>
          </w:r>
          <w:r>
            <w:rPr>
              <w:rStyle w:val="30"/>
              <w:rFonts w:hint="eastAsia" w:ascii="仿宋" w:hAnsi="仿宋"/>
              <w:lang w:bidi="ar"/>
            </w:rPr>
            <w:t>3.</w:t>
          </w:r>
          <w:r>
            <w:rPr>
              <w:rFonts w:hint="eastAsia" w:cstheme="minorBidi"/>
              <w:kern w:val="2"/>
              <w:sz w:val="21"/>
              <w14:ligatures w14:val="standardContextual"/>
            </w:rPr>
            <w:tab/>
          </w:r>
          <w:r>
            <w:rPr>
              <w:rStyle w:val="30"/>
              <w:rFonts w:hint="eastAsia" w:ascii="仿宋" w:hAnsi="仿宋"/>
              <w:shd w:val="clear" w:color="auto" w:fill="FFFFFF"/>
              <w:lang w:bidi="ar"/>
            </w:rPr>
            <w:t>中山市轨道事务中心正式成立</w:t>
          </w:r>
          <w:r>
            <w:rPr>
              <w:rFonts w:hint="eastAsia"/>
            </w:rPr>
            <w:tab/>
          </w:r>
          <w:r>
            <w:rPr>
              <w:rFonts w:hint="eastAsia"/>
            </w:rPr>
            <w:fldChar w:fldCharType="begin"/>
          </w:r>
          <w:r>
            <w:rPr>
              <w:rFonts w:hint="eastAsia"/>
            </w:rPr>
            <w:instrText xml:space="preserve"> </w:instrText>
          </w:r>
          <w:r>
            <w:instrText xml:space="preserve">PAGEREF _Toc179548830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794E9E4">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"_Toc179548831" </w:instrText>
          </w:r>
          <w:r>
            <w:fldChar w:fldCharType="separate"/>
          </w:r>
          <w:r>
            <w:rPr>
              <w:rStyle w:val="30"/>
              <w:rFonts w:hint="eastAsia" w:ascii="仿宋" w:hAnsi="仿宋" w:cs="Arial"/>
            </w:rPr>
            <w:t>4.</w:t>
          </w:r>
          <w:r>
            <w:rPr>
              <w:rFonts w:hint="eastAsia" w:cstheme="minorBidi"/>
              <w:kern w:val="2"/>
              <w:sz w:val="21"/>
              <w14:ligatures w14:val="standardContextual"/>
            </w:rPr>
            <w:tab/>
          </w:r>
          <w:r>
            <w:rPr>
              <w:rStyle w:val="30"/>
              <w:rFonts w:hint="eastAsia" w:ascii="仿宋" w:hAnsi="仿宋" w:cs="Arial"/>
              <w:shd w:val="clear" w:color="auto" w:fill="FFFFFF"/>
            </w:rPr>
            <w:t>8月轨道交通客运量同比增加近亿人次</w:t>
          </w:r>
          <w:r>
            <w:rPr>
              <w:rFonts w:hint="eastAsia"/>
            </w:rPr>
            <w:tab/>
          </w:r>
          <w:r>
            <w:rPr>
              <w:rFonts w:hint="eastAsia"/>
            </w:rPr>
            <w:fldChar w:fldCharType="begin"/>
          </w:r>
          <w:r>
            <w:rPr>
              <w:rFonts w:hint="eastAsia"/>
            </w:rPr>
            <w:instrText xml:space="preserve"> </w:instrText>
          </w:r>
          <w:r>
            <w:instrText xml:space="preserve">PAGEREF _Toc179548831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26DDD461">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"_Toc179548832" </w:instrText>
          </w:r>
          <w:r>
            <w:fldChar w:fldCharType="separate"/>
          </w:r>
          <w:r>
            <w:rPr>
              <w:rStyle w:val="30"/>
              <w:rFonts w:hint="eastAsia" w:ascii="仿宋" w:hAnsi="仿宋"/>
              <w:lang w:bidi="ar"/>
            </w:rPr>
            <w:t>5.</w:t>
          </w:r>
          <w:r>
            <w:rPr>
              <w:rFonts w:hint="eastAsia" w:cstheme="minorBidi"/>
              <w:kern w:val="2"/>
              <w:sz w:val="21"/>
              <w14:ligatures w14:val="standardContextual"/>
            </w:rPr>
            <w:tab/>
          </w:r>
          <w:r>
            <w:rPr>
              <w:rStyle w:val="30"/>
              <w:rFonts w:hint="eastAsia" w:ascii="仿宋" w:hAnsi="仿宋"/>
              <w:shd w:val="clear" w:color="auto" w:fill="FFFFFF"/>
              <w:lang w:bidi="ar"/>
            </w:rPr>
            <w:t>天津市“轨交导向城市建造(塑形)之路”线下论坛成功举办</w:t>
          </w:r>
          <w:r>
            <w:rPr>
              <w:rFonts w:hint="eastAsia"/>
            </w:rPr>
            <w:tab/>
          </w:r>
          <w:r>
            <w:rPr>
              <w:rFonts w:hint="eastAsia"/>
            </w:rPr>
            <w:fldChar w:fldCharType="begin"/>
          </w:r>
          <w:r>
            <w:rPr>
              <w:rFonts w:hint="eastAsia"/>
            </w:rPr>
            <w:instrText xml:space="preserve"> </w:instrText>
          </w:r>
          <w:r>
            <w:instrText xml:space="preserve">PAGEREF _Toc179548832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27294D27">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"_Toc179548833" </w:instrText>
          </w:r>
          <w:r>
            <w:fldChar w:fldCharType="separate"/>
          </w:r>
          <w:r>
            <w:rPr>
              <w:rStyle w:val="30"/>
              <w:rFonts w:hint="eastAsia" w:ascii="仿宋" w:hAnsi="仿宋"/>
              <w:lang w:bidi="ar"/>
            </w:rPr>
            <w:t>6.</w:t>
          </w:r>
          <w:r>
            <w:rPr>
              <w:rFonts w:hint="eastAsia" w:cstheme="minorBidi"/>
              <w:kern w:val="2"/>
              <w:sz w:val="21"/>
              <w14:ligatures w14:val="standardContextual"/>
            </w:rPr>
            <w:tab/>
          </w:r>
          <w:r>
            <w:rPr>
              <w:rStyle w:val="30"/>
              <w:rFonts w:hint="eastAsia" w:ascii="仿宋" w:hAnsi="仿宋"/>
              <w:shd w:val="clear" w:color="auto" w:fill="FFFFFF"/>
              <w:lang w:bidi="ar"/>
            </w:rPr>
            <w:t>《福建省“十五五”综合交通运输发展专项规划》研究大纲审查会召开</w:t>
          </w:r>
          <w:r>
            <w:rPr>
              <w:rFonts w:hint="eastAsia"/>
            </w:rPr>
            <w:tab/>
          </w:r>
          <w:r>
            <w:rPr>
              <w:rFonts w:hint="eastAsia"/>
            </w:rPr>
            <w:fldChar w:fldCharType="begin"/>
          </w:r>
          <w:r>
            <w:rPr>
              <w:rFonts w:hint="eastAsia"/>
            </w:rPr>
            <w:instrText xml:space="preserve"> </w:instrText>
          </w:r>
          <w:r>
            <w:instrText xml:space="preserve">PAGEREF _Toc179548833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681A8AE">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"_Toc179548834" </w:instrText>
          </w:r>
          <w:r>
            <w:fldChar w:fldCharType="separate"/>
          </w:r>
          <w:r>
            <w:rPr>
              <w:rStyle w:val="30"/>
              <w:rFonts w:hint="eastAsia" w:ascii="仿宋" w:hAnsi="仿宋"/>
              <w:lang w:bidi="ar"/>
            </w:rPr>
            <w:t>7.</w:t>
          </w:r>
          <w:r>
            <w:rPr>
              <w:rFonts w:hint="eastAsia" w:cstheme="minorBidi"/>
              <w:kern w:val="2"/>
              <w:sz w:val="21"/>
              <w14:ligatures w14:val="standardContextual"/>
            </w:rPr>
            <w:tab/>
          </w:r>
          <w:r>
            <w:rPr>
              <w:rStyle w:val="30"/>
              <w:rFonts w:hint="eastAsia" w:ascii="仿宋" w:hAnsi="仿宋"/>
              <w:shd w:val="clear" w:color="auto" w:fill="FFFFFF"/>
              <w:lang w:bidi="ar"/>
            </w:rPr>
            <w:t>上海松江区与申通地铁集团正在加快推动洞泾停车场上盖开发项目</w:t>
          </w:r>
          <w:r>
            <w:rPr>
              <w:rFonts w:hint="eastAsia"/>
            </w:rPr>
            <w:tab/>
          </w:r>
          <w:r>
            <w:rPr>
              <w:rFonts w:hint="eastAsia"/>
            </w:rPr>
            <w:fldChar w:fldCharType="begin"/>
          </w:r>
          <w:r>
            <w:rPr>
              <w:rFonts w:hint="eastAsia"/>
            </w:rPr>
            <w:instrText xml:space="preserve"> </w:instrText>
          </w:r>
          <w:r>
            <w:instrText xml:space="preserve">PAGEREF _Toc179548834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67312168">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"_Toc179548835" </w:instrText>
          </w:r>
          <w:r>
            <w:fldChar w:fldCharType="separate"/>
          </w:r>
          <w:r>
            <w:rPr>
              <w:rStyle w:val="30"/>
              <w:rFonts w:hint="eastAsia" w:ascii="仿宋" w:hAnsi="仿宋"/>
              <w:lang w:bidi="ar"/>
            </w:rPr>
            <w:t>8.</w:t>
          </w:r>
          <w:r>
            <w:rPr>
              <w:rFonts w:hint="eastAsia" w:cstheme="minorBidi"/>
              <w:kern w:val="2"/>
              <w:sz w:val="21"/>
              <w14:ligatures w14:val="standardContextual"/>
            </w:rPr>
            <w:tab/>
          </w:r>
          <w:r>
            <w:rPr>
              <w:rStyle w:val="30"/>
              <w:rFonts w:hint="eastAsia" w:ascii="仿宋" w:hAnsi="仿宋"/>
              <w:shd w:val="clear" w:color="auto" w:fill="FFFFFF"/>
              <w:lang w:bidi="ar"/>
            </w:rPr>
            <w:t>沪苏浙皖联合组建长三角轨道交通运营公司</w:t>
          </w:r>
          <w:r>
            <w:rPr>
              <w:rFonts w:hint="eastAsia"/>
            </w:rPr>
            <w:tab/>
          </w:r>
          <w:r>
            <w:rPr>
              <w:rFonts w:hint="eastAsia"/>
            </w:rPr>
            <w:fldChar w:fldCharType="begin"/>
          </w:r>
          <w:r>
            <w:rPr>
              <w:rFonts w:hint="eastAsia"/>
            </w:rPr>
            <w:instrText xml:space="preserve"> </w:instrText>
          </w:r>
          <w:r>
            <w:instrText xml:space="preserve">PAGEREF _Toc179548835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62DB78E8">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"_Toc179548836" </w:instrText>
          </w:r>
          <w:r>
            <w:fldChar w:fldCharType="separate"/>
          </w:r>
          <w:r>
            <w:rPr>
              <w:rStyle w:val="30"/>
              <w:rFonts w:hint="eastAsia" w:ascii="仿宋" w:hAnsi="仿宋"/>
              <w:lang w:bidi="ar"/>
            </w:rPr>
            <w:t>9.</w:t>
          </w:r>
          <w:r>
            <w:rPr>
              <w:rFonts w:hint="eastAsia" w:cstheme="minorBidi"/>
              <w:kern w:val="2"/>
              <w:sz w:val="21"/>
              <w14:ligatures w14:val="standardContextual"/>
            </w:rPr>
            <w:tab/>
          </w:r>
          <w:r>
            <w:rPr>
              <w:rStyle w:val="30"/>
              <w:rFonts w:hint="eastAsia" w:ascii="仿宋" w:hAnsi="仿宋"/>
              <w:shd w:val="clear" w:color="auto" w:fill="FFFFFF"/>
              <w:lang w:bidi="ar"/>
            </w:rPr>
            <w:t>「枢·融」义乌“国际开放枢纽区”统合规划设计国际竞赛正式开启</w:t>
          </w:r>
          <w:r>
            <w:rPr>
              <w:rFonts w:hint="eastAsia"/>
            </w:rPr>
            <w:tab/>
          </w:r>
          <w:r>
            <w:rPr>
              <w:rFonts w:hint="eastAsia"/>
            </w:rPr>
            <w:fldChar w:fldCharType="begin"/>
          </w:r>
          <w:r>
            <w:rPr>
              <w:rFonts w:hint="eastAsia"/>
            </w:rPr>
            <w:instrText xml:space="preserve"> </w:instrText>
          </w:r>
          <w:r>
            <w:instrText xml:space="preserve">PAGEREF _Toc179548836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18BA4C3A">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"_Toc179548837" </w:instrText>
          </w:r>
          <w:r>
            <w:fldChar w:fldCharType="separate"/>
          </w:r>
          <w:r>
            <w:rPr>
              <w:rStyle w:val="30"/>
              <w:rFonts w:hint="eastAsia" w:ascii="仿宋" w:hAnsi="仿宋"/>
              <w:lang w:bidi="ar"/>
            </w:rPr>
            <w:t>10.</w:t>
          </w:r>
          <w:r>
            <w:rPr>
              <w:rFonts w:hint="eastAsia" w:cstheme="minorBidi"/>
              <w:kern w:val="2"/>
              <w:sz w:val="21"/>
              <w14:ligatures w14:val="standardContextual"/>
            </w:rPr>
            <w:tab/>
          </w:r>
          <w:r>
            <w:rPr>
              <w:rStyle w:val="30"/>
              <w:rFonts w:hint="eastAsia" w:ascii="仿宋" w:hAnsi="仿宋"/>
              <w:shd w:val="clear" w:color="auto" w:fill="FFFFFF"/>
              <w:lang w:bidi="ar"/>
            </w:rPr>
            <w:t>厦门规划院组织轨道交通TOD综合开发规划工作专家咨询会</w:t>
          </w:r>
          <w:r>
            <w:rPr>
              <w:rFonts w:hint="eastAsia"/>
            </w:rPr>
            <w:tab/>
          </w:r>
          <w:r>
            <w:rPr>
              <w:rFonts w:hint="eastAsia"/>
            </w:rPr>
            <w:fldChar w:fldCharType="begin"/>
          </w:r>
          <w:r>
            <w:rPr>
              <w:rFonts w:hint="eastAsia"/>
            </w:rPr>
            <w:instrText xml:space="preserve"> </w:instrText>
          </w:r>
          <w:r>
            <w:instrText xml:space="preserve">PAGEREF _Toc179548837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3E0B0EC8">
          <w:pPr>
            <w:pStyle w:val="17"/>
            <w:tabs>
              <w:tab w:val="right" w:leader="dot" w:pos="8296"/>
            </w:tabs>
            <w:rPr>
              <w:rFonts w:hint="eastAsia" w:cstheme="minorBidi"/>
              <w:kern w:val="2"/>
              <w:sz w:val="21"/>
              <w14:ligatures w14:val="standardContextual"/>
            </w:rPr>
          </w:pPr>
          <w:r>
            <w:fldChar w:fldCharType="begin"/>
          </w:r>
          <w:r>
            <w:instrText xml:space="preserve"> HYPERLINK \l "_Toc179548838" </w:instrText>
          </w:r>
          <w:r>
            <w:fldChar w:fldCharType="separate"/>
          </w:r>
          <w:r>
            <w:rPr>
              <w:rStyle w:val="30"/>
              <w:rFonts w:hint="eastAsia" w:ascii="黑体" w:hAnsi="黑体" w:eastAsia="黑体"/>
              <w:kern w:val="44"/>
            </w:rPr>
            <w:t>三、企业动态</w:t>
          </w:r>
          <w:r>
            <w:rPr>
              <w:rFonts w:hint="eastAsia"/>
            </w:rPr>
            <w:tab/>
          </w:r>
          <w:r>
            <w:rPr>
              <w:rFonts w:hint="eastAsia"/>
            </w:rPr>
            <w:fldChar w:fldCharType="begin"/>
          </w:r>
          <w:r>
            <w:rPr>
              <w:rFonts w:hint="eastAsia"/>
            </w:rPr>
            <w:instrText xml:space="preserve"> </w:instrText>
          </w:r>
          <w:r>
            <w:instrText xml:space="preserve">PAGEREF _Toc179548838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4942F3F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"_Toc179548839" </w:instrText>
          </w:r>
          <w:r>
            <w:fldChar w:fldCharType="separate"/>
          </w:r>
          <w:r>
            <w:rPr>
              <w:rStyle w:val="30"/>
              <w:rFonts w:hint="eastAsia" w:ascii="仿宋" w:hAnsi="仿宋"/>
              <w:lang w:bidi="ar"/>
            </w:rPr>
            <w:t>1.</w:t>
          </w:r>
          <w:r>
            <w:rPr>
              <w:rFonts w:hint="eastAsia" w:cstheme="minorBidi"/>
              <w:kern w:val="2"/>
              <w:sz w:val="21"/>
              <w14:ligatures w14:val="standardContextual"/>
            </w:rPr>
            <w:tab/>
          </w:r>
          <w:r>
            <w:rPr>
              <w:rStyle w:val="30"/>
              <w:rFonts w:hint="eastAsia" w:ascii="仿宋" w:hAnsi="仿宋"/>
              <w:shd w:val="clear" w:color="auto" w:fill="FFFFFF"/>
              <w:lang w:bidi="ar"/>
            </w:rPr>
            <w:t>9月TOD土地成交7幅，</w:t>
          </w:r>
          <w:r>
            <w:rPr>
              <w:rStyle w:val="30"/>
              <w:rFonts w:hint="eastAsia" w:ascii="仿宋" w:hAnsi="仿宋"/>
              <w:lang w:bidi="ar"/>
            </w:rPr>
            <w:t>万科联合杭州地铁拿地1幅</w:t>
          </w:r>
          <w:r>
            <w:rPr>
              <w:rFonts w:hint="eastAsia"/>
            </w:rPr>
            <w:tab/>
          </w:r>
          <w:r>
            <w:rPr>
              <w:rFonts w:hint="eastAsia"/>
            </w:rPr>
            <w:fldChar w:fldCharType="begin"/>
          </w:r>
          <w:r>
            <w:rPr>
              <w:rFonts w:hint="eastAsia"/>
            </w:rPr>
            <w:instrText xml:space="preserve"> </w:instrText>
          </w:r>
          <w:r>
            <w:instrText xml:space="preserve">PAGEREF _Toc179548839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2895EE0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"_Toc179548840" </w:instrText>
          </w:r>
          <w:r>
            <w:fldChar w:fldCharType="separate"/>
          </w:r>
          <w:r>
            <w:rPr>
              <w:rStyle w:val="30"/>
              <w:rFonts w:hint="eastAsia" w:ascii="仿宋" w:hAnsi="仿宋" w:cs="Arial"/>
            </w:rPr>
            <w:t>2.</w:t>
          </w:r>
          <w:r>
            <w:rPr>
              <w:rFonts w:hint="eastAsia" w:cstheme="minorBidi"/>
              <w:kern w:val="2"/>
              <w:sz w:val="21"/>
              <w14:ligatures w14:val="standardContextual"/>
            </w:rPr>
            <w:tab/>
          </w:r>
          <w:r>
            <w:rPr>
              <w:rStyle w:val="30"/>
              <w:rFonts w:hint="eastAsia" w:ascii="仿宋" w:hAnsi="仿宋"/>
            </w:rPr>
            <w:t>青岛地铁与中国十七冶集团签署合作协议共同投资青岛北站TOD一号工程</w:t>
          </w:r>
          <w:r>
            <w:rPr>
              <w:rFonts w:hint="eastAsia"/>
            </w:rPr>
            <w:tab/>
          </w:r>
          <w:r>
            <w:rPr>
              <w:rFonts w:hint="eastAsia"/>
            </w:rPr>
            <w:fldChar w:fldCharType="begin"/>
          </w:r>
          <w:r>
            <w:rPr>
              <w:rFonts w:hint="eastAsia"/>
            </w:rPr>
            <w:instrText xml:space="preserve"> </w:instrText>
          </w:r>
          <w:r>
            <w:instrText xml:space="preserve">PAGEREF _Toc179548840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1AD924D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"_Toc179548841" </w:instrText>
          </w:r>
          <w:r>
            <w:fldChar w:fldCharType="separate"/>
          </w:r>
          <w:r>
            <w:rPr>
              <w:rStyle w:val="30"/>
              <w:rFonts w:hint="eastAsia" w:ascii="仿宋" w:hAnsi="仿宋"/>
              <w:lang w:bidi="ar"/>
            </w:rPr>
            <w:t>3.</w:t>
          </w:r>
          <w:r>
            <w:rPr>
              <w:rFonts w:hint="eastAsia" w:cstheme="minorBidi"/>
              <w:kern w:val="2"/>
              <w:sz w:val="21"/>
              <w14:ligatures w14:val="standardContextual"/>
            </w:rPr>
            <w:tab/>
          </w:r>
          <w:r>
            <w:rPr>
              <w:rStyle w:val="30"/>
              <w:rFonts w:hint="eastAsia" w:ascii="仿宋" w:hAnsi="仿宋"/>
              <w:shd w:val="clear" w:color="auto" w:fill="FFFFFF"/>
              <w:lang w:bidi="ar"/>
            </w:rPr>
            <w:t>广州地铁设计研究院与中建四局投资发展公司签订战略合作框架协议</w:t>
          </w:r>
          <w:r>
            <w:rPr>
              <w:rFonts w:hint="eastAsia"/>
            </w:rPr>
            <w:tab/>
          </w:r>
          <w:r>
            <w:rPr>
              <w:rFonts w:hint="eastAsia"/>
            </w:rPr>
            <w:fldChar w:fldCharType="begin"/>
          </w:r>
          <w:r>
            <w:rPr>
              <w:rFonts w:hint="eastAsia"/>
            </w:rPr>
            <w:instrText xml:space="preserve"> </w:instrText>
          </w:r>
          <w:r>
            <w:instrText xml:space="preserve">PAGEREF _Toc179548841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1767ED1B">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"_Toc179548842" </w:instrText>
          </w:r>
          <w:r>
            <w:fldChar w:fldCharType="separate"/>
          </w:r>
          <w:r>
            <w:rPr>
              <w:rStyle w:val="30"/>
              <w:rFonts w:hint="eastAsia" w:ascii="仿宋" w:hAnsi="仿宋"/>
              <w:lang w:bidi="ar"/>
            </w:rPr>
            <w:t>4.</w:t>
          </w:r>
          <w:r>
            <w:rPr>
              <w:rFonts w:hint="eastAsia" w:cstheme="minorBidi"/>
              <w:kern w:val="2"/>
              <w:sz w:val="21"/>
              <w14:ligatures w14:val="standardContextual"/>
            </w:rPr>
            <w:tab/>
          </w:r>
          <w:r>
            <w:rPr>
              <w:rStyle w:val="30"/>
              <w:rFonts w:hint="eastAsia" w:ascii="仿宋" w:hAnsi="仿宋"/>
              <w:shd w:val="clear" w:color="auto" w:fill="FFFFFF"/>
              <w:lang w:bidi="ar"/>
            </w:rPr>
            <w:t>广州市城市规划设计公司申请地铁车辆段上盖开发宜居适宜性评估专利</w:t>
          </w:r>
          <w:r>
            <w:rPr>
              <w:rFonts w:hint="eastAsia"/>
            </w:rPr>
            <w:tab/>
          </w:r>
          <w:r>
            <w:rPr>
              <w:rFonts w:hint="eastAsia"/>
            </w:rPr>
            <w:fldChar w:fldCharType="begin"/>
          </w:r>
          <w:r>
            <w:rPr>
              <w:rFonts w:hint="eastAsia"/>
            </w:rPr>
            <w:instrText xml:space="preserve"> </w:instrText>
          </w:r>
          <w:r>
            <w:instrText xml:space="preserve">PAGEREF _Toc179548842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08FFEED7">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"_Toc179548843" </w:instrText>
          </w:r>
          <w:r>
            <w:fldChar w:fldCharType="separate"/>
          </w:r>
          <w:r>
            <w:rPr>
              <w:rStyle w:val="30"/>
              <w:rFonts w:hint="eastAsia" w:ascii="仿宋" w:hAnsi="仿宋"/>
              <w:lang w:bidi="ar"/>
            </w:rPr>
            <w:t>5.</w:t>
          </w:r>
          <w:r>
            <w:rPr>
              <w:rFonts w:hint="eastAsia" w:cstheme="minorBidi"/>
              <w:kern w:val="2"/>
              <w:sz w:val="21"/>
              <w14:ligatures w14:val="standardContextual"/>
            </w:rPr>
            <w:tab/>
          </w:r>
          <w:r>
            <w:rPr>
              <w:rStyle w:val="30"/>
              <w:rFonts w:hint="eastAsia" w:ascii="仿宋" w:hAnsi="仿宋"/>
              <w:shd w:val="clear" w:color="auto" w:fill="FFFFFF"/>
              <w:lang w:bidi="ar"/>
            </w:rPr>
            <w:t>深铁集团上半年转亏近38亿元</w:t>
          </w:r>
          <w:r>
            <w:rPr>
              <w:rFonts w:hint="eastAsia"/>
            </w:rPr>
            <w:tab/>
          </w:r>
          <w:r>
            <w:rPr>
              <w:rFonts w:hint="eastAsia"/>
            </w:rPr>
            <w:fldChar w:fldCharType="begin"/>
          </w:r>
          <w:r>
            <w:rPr>
              <w:rFonts w:hint="eastAsia"/>
            </w:rPr>
            <w:instrText xml:space="preserve"> </w:instrText>
          </w:r>
          <w:r>
            <w:instrText xml:space="preserve">PAGEREF _Toc179548843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5D7A7343">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"_Toc179548844" </w:instrText>
          </w:r>
          <w:r>
            <w:fldChar w:fldCharType="separate"/>
          </w:r>
          <w:r>
            <w:rPr>
              <w:rStyle w:val="30"/>
              <w:rFonts w:hint="eastAsia" w:ascii="仿宋" w:hAnsi="仿宋"/>
              <w:lang w:bidi="ar"/>
            </w:rPr>
            <w:t>6.</w:t>
          </w:r>
          <w:r>
            <w:rPr>
              <w:rFonts w:hint="eastAsia" w:cstheme="minorBidi"/>
              <w:kern w:val="2"/>
              <w:sz w:val="21"/>
              <w14:ligatures w14:val="standardContextual"/>
            </w:rPr>
            <w:tab/>
          </w:r>
          <w:r>
            <w:rPr>
              <w:rStyle w:val="30"/>
              <w:rFonts w:hint="eastAsia" w:ascii="仿宋" w:hAnsi="仿宋"/>
              <w:shd w:val="clear" w:color="auto" w:fill="FFFFFF"/>
              <w:lang w:bidi="ar"/>
            </w:rPr>
            <w:t>武汉地铁三大TOD商业体项目相继开业</w:t>
          </w:r>
          <w:r>
            <w:rPr>
              <w:rFonts w:hint="eastAsia"/>
            </w:rPr>
            <w:tab/>
          </w:r>
          <w:r>
            <w:rPr>
              <w:rFonts w:hint="eastAsia"/>
            </w:rPr>
            <w:fldChar w:fldCharType="begin"/>
          </w:r>
          <w:r>
            <w:rPr>
              <w:rFonts w:hint="eastAsia"/>
            </w:rPr>
            <w:instrText xml:space="preserve"> </w:instrText>
          </w:r>
          <w:r>
            <w:instrText xml:space="preserve">PAGEREF _Toc179548844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3DA4C448">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"_Toc179548845" </w:instrText>
          </w:r>
          <w:r>
            <w:fldChar w:fldCharType="separate"/>
          </w:r>
          <w:r>
            <w:rPr>
              <w:rStyle w:val="30"/>
              <w:rFonts w:hint="eastAsia" w:ascii="仿宋" w:hAnsi="仿宋"/>
              <w:lang w:bidi="ar"/>
            </w:rPr>
            <w:t>7.</w:t>
          </w:r>
          <w:r>
            <w:rPr>
              <w:rFonts w:hint="eastAsia" w:cstheme="minorBidi"/>
              <w:kern w:val="2"/>
              <w:sz w:val="21"/>
              <w14:ligatures w14:val="standardContextual"/>
            </w:rPr>
            <w:tab/>
          </w:r>
          <w:r>
            <w:rPr>
              <w:rStyle w:val="30"/>
              <w:rFonts w:hint="eastAsia" w:ascii="仿宋" w:hAnsi="仿宋"/>
              <w:shd w:val="clear" w:color="auto" w:fill="FFFFFF"/>
              <w:lang w:bidi="ar"/>
            </w:rPr>
            <w:t>昆明地铁19个商业开发项目招商引资</w:t>
          </w:r>
          <w:r>
            <w:rPr>
              <w:rFonts w:hint="eastAsia"/>
            </w:rPr>
            <w:tab/>
          </w:r>
          <w:r>
            <w:rPr>
              <w:rFonts w:hint="eastAsia"/>
            </w:rPr>
            <w:fldChar w:fldCharType="begin"/>
          </w:r>
          <w:r>
            <w:rPr>
              <w:rFonts w:hint="eastAsia"/>
            </w:rPr>
            <w:instrText xml:space="preserve"> </w:instrText>
          </w:r>
          <w:r>
            <w:instrText xml:space="preserve">PAGEREF _Toc179548845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750ACA0E">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"_Toc179548846" </w:instrText>
          </w:r>
          <w:r>
            <w:fldChar w:fldCharType="separate"/>
          </w:r>
          <w:r>
            <w:rPr>
              <w:rStyle w:val="30"/>
              <w:rFonts w:hint="eastAsia" w:ascii="仿宋" w:hAnsi="仿宋"/>
              <w:lang w:bidi="ar"/>
            </w:rPr>
            <w:t>8.</w:t>
          </w:r>
          <w:r>
            <w:rPr>
              <w:rFonts w:hint="eastAsia" w:cstheme="minorBidi"/>
              <w:kern w:val="2"/>
              <w:sz w:val="21"/>
              <w14:ligatures w14:val="standardContextual"/>
            </w:rPr>
            <w:tab/>
          </w:r>
          <w:r>
            <w:rPr>
              <w:rStyle w:val="30"/>
              <w:rFonts w:hint="eastAsia" w:ascii="仿宋" w:hAnsi="仿宋"/>
              <w:shd w:val="clear" w:color="auto" w:fill="FFFFFF"/>
              <w:lang w:bidi="ar"/>
            </w:rPr>
            <w:t>远洋建管与武汉地铁签署江岸区地铁上盖项目代建协议</w:t>
          </w:r>
          <w:r>
            <w:rPr>
              <w:rFonts w:hint="eastAsia"/>
            </w:rPr>
            <w:tab/>
          </w:r>
          <w:r>
            <w:rPr>
              <w:rFonts w:hint="eastAsia"/>
            </w:rPr>
            <w:fldChar w:fldCharType="begin"/>
          </w:r>
          <w:r>
            <w:rPr>
              <w:rFonts w:hint="eastAsia"/>
            </w:rPr>
            <w:instrText xml:space="preserve"> </w:instrText>
          </w:r>
          <w:r>
            <w:instrText xml:space="preserve">PAGEREF _Toc179548846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39F67B5D">
          <w:pPr>
            <w:pStyle w:val="17"/>
            <w:tabs>
              <w:tab w:val="right" w:leader="dot" w:pos="8296"/>
            </w:tabs>
            <w:rPr>
              <w:rFonts w:hint="eastAsia" w:cstheme="minorBidi"/>
              <w:kern w:val="2"/>
              <w:sz w:val="21"/>
              <w14:ligatures w14:val="standardContextual"/>
            </w:rPr>
          </w:pPr>
          <w:r>
            <w:fldChar w:fldCharType="begin"/>
          </w:r>
          <w:r>
            <w:instrText xml:space="preserve"> HYPERLINK \l "_Toc179548847" </w:instrText>
          </w:r>
          <w:r>
            <w:fldChar w:fldCharType="separate"/>
          </w:r>
          <w:r>
            <w:rPr>
              <w:rStyle w:val="30"/>
              <w:rFonts w:hint="eastAsia" w:ascii="黑体" w:hAnsi="黑体" w:eastAsia="黑体"/>
              <w:kern w:val="44"/>
            </w:rPr>
            <w:t>四、项目动态</w:t>
          </w:r>
          <w:r>
            <w:rPr>
              <w:rFonts w:hint="eastAsia"/>
            </w:rPr>
            <w:tab/>
          </w:r>
          <w:r>
            <w:rPr>
              <w:rFonts w:hint="eastAsia"/>
            </w:rPr>
            <w:fldChar w:fldCharType="begin"/>
          </w:r>
          <w:r>
            <w:rPr>
              <w:rFonts w:hint="eastAsia"/>
            </w:rPr>
            <w:instrText xml:space="preserve"> </w:instrText>
          </w:r>
          <w:r>
            <w:instrText xml:space="preserve">PAGEREF _Toc179548847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3FE7776D">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"_Toc179548848" </w:instrText>
          </w:r>
          <w:r>
            <w:fldChar w:fldCharType="separate"/>
          </w:r>
          <w:r>
            <w:rPr>
              <w:rStyle w:val="30"/>
              <w:rFonts w:hint="eastAsia" w:ascii="仿宋" w:hAnsi="仿宋"/>
              <w:lang w:bidi="ar"/>
            </w:rPr>
            <w:t>1.</w:t>
          </w:r>
          <w:r>
            <w:rPr>
              <w:rFonts w:hint="eastAsia" w:cstheme="minorBidi"/>
              <w:kern w:val="2"/>
              <w:sz w:val="21"/>
              <w14:ligatures w14:val="standardContextual"/>
            </w:rPr>
            <w:tab/>
          </w:r>
          <w:r>
            <w:rPr>
              <w:rStyle w:val="30"/>
              <w:rFonts w:hint="eastAsia" w:ascii="仿宋" w:hAnsi="仿宋"/>
              <w:shd w:val="clear" w:color="auto" w:fill="FFFFFF"/>
              <w:lang w:bidi="ar"/>
            </w:rPr>
            <w:t>北京城际铁路联络线一期工程礼贤站TOD项目将打造成为“轨道微中心”</w:t>
          </w:r>
          <w:r>
            <w:rPr>
              <w:rFonts w:hint="eastAsia"/>
            </w:rPr>
            <w:tab/>
          </w:r>
          <w:r>
            <w:rPr>
              <w:rFonts w:hint="eastAsia"/>
            </w:rPr>
            <w:fldChar w:fldCharType="begin"/>
          </w:r>
          <w:r>
            <w:rPr>
              <w:rFonts w:hint="eastAsia"/>
            </w:rPr>
            <w:instrText xml:space="preserve"> </w:instrText>
          </w:r>
          <w:r>
            <w:instrText xml:space="preserve">PAGEREF _Toc179548848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2DDD65DE">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"_Toc179548849" </w:instrText>
          </w:r>
          <w:r>
            <w:fldChar w:fldCharType="separate"/>
          </w:r>
          <w:r>
            <w:rPr>
              <w:rStyle w:val="30"/>
              <w:rFonts w:hint="eastAsia" w:ascii="仿宋" w:hAnsi="仿宋"/>
              <w:lang w:bidi="ar"/>
            </w:rPr>
            <w:t>2.</w:t>
          </w:r>
          <w:r>
            <w:rPr>
              <w:rFonts w:hint="eastAsia" w:cstheme="minorBidi"/>
              <w:kern w:val="2"/>
              <w:sz w:val="21"/>
              <w14:ligatures w14:val="standardContextual"/>
            </w:rPr>
            <w:tab/>
          </w:r>
          <w:r>
            <w:rPr>
              <w:rStyle w:val="30"/>
              <w:rFonts w:hint="eastAsia" w:ascii="仿宋" w:hAnsi="仿宋"/>
              <w:shd w:val="clear" w:color="auto" w:fill="FFFFFF"/>
              <w:lang w:bidi="ar"/>
            </w:rPr>
            <w:t>北京市通州区张家湾车辆段项目上盖小镇主体结构封顶</w:t>
          </w:r>
          <w:r>
            <w:rPr>
              <w:rFonts w:hint="eastAsia"/>
            </w:rPr>
            <w:tab/>
          </w:r>
          <w:r>
            <w:rPr>
              <w:rFonts w:hint="eastAsia"/>
            </w:rPr>
            <w:fldChar w:fldCharType="begin"/>
          </w:r>
          <w:r>
            <w:rPr>
              <w:rFonts w:hint="eastAsia"/>
            </w:rPr>
            <w:instrText xml:space="preserve"> </w:instrText>
          </w:r>
          <w:r>
            <w:instrText xml:space="preserve">PAGEREF _Toc179548849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2199C440">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"_Toc179548850" </w:instrText>
          </w:r>
          <w:r>
            <w:fldChar w:fldCharType="separate"/>
          </w:r>
          <w:r>
            <w:rPr>
              <w:rStyle w:val="30"/>
              <w:rFonts w:hint="eastAsia" w:ascii="仿宋" w:hAnsi="仿宋"/>
              <w:lang w:bidi="ar"/>
            </w:rPr>
            <w:t>3.</w:t>
          </w:r>
          <w:r>
            <w:rPr>
              <w:rFonts w:hint="eastAsia" w:cstheme="minorBidi"/>
              <w:kern w:val="2"/>
              <w:sz w:val="21"/>
              <w14:ligatures w14:val="standardContextual"/>
            </w:rPr>
            <w:tab/>
          </w:r>
          <w:r>
            <w:rPr>
              <w:rStyle w:val="30"/>
              <w:rFonts w:hint="eastAsia" w:ascii="仿宋" w:hAnsi="仿宋"/>
              <w:shd w:val="clear" w:color="auto" w:fill="FFFFFF"/>
              <w:lang w:bidi="ar"/>
            </w:rPr>
            <w:t>上海地铁呼兰路站TOD设计公示</w:t>
          </w:r>
          <w:r>
            <w:rPr>
              <w:rFonts w:hint="eastAsia"/>
            </w:rPr>
            <w:tab/>
          </w:r>
          <w:r>
            <w:rPr>
              <w:rFonts w:hint="eastAsia"/>
            </w:rPr>
            <w:fldChar w:fldCharType="begin"/>
          </w:r>
          <w:r>
            <w:rPr>
              <w:rFonts w:hint="eastAsia"/>
            </w:rPr>
            <w:instrText xml:space="preserve"> </w:instrText>
          </w:r>
          <w:r>
            <w:instrText xml:space="preserve">PAGEREF _Toc179548850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230A937C">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"_Toc179548851" </w:instrText>
          </w:r>
          <w:r>
            <w:fldChar w:fldCharType="separate"/>
          </w:r>
          <w:r>
            <w:rPr>
              <w:rStyle w:val="30"/>
              <w:rFonts w:hint="eastAsia" w:ascii="仿宋" w:hAnsi="仿宋"/>
              <w:lang w:bidi="ar"/>
            </w:rPr>
            <w:t>4.</w:t>
          </w:r>
          <w:r>
            <w:rPr>
              <w:rFonts w:hint="eastAsia" w:cstheme="minorBidi"/>
              <w:kern w:val="2"/>
              <w:sz w:val="21"/>
              <w14:ligatures w14:val="standardContextual"/>
            </w:rPr>
            <w:tab/>
          </w:r>
          <w:r>
            <w:rPr>
              <w:rStyle w:val="30"/>
              <w:rFonts w:hint="eastAsia" w:ascii="仿宋" w:hAnsi="仿宋"/>
              <w:shd w:val="clear" w:color="auto" w:fill="FFFFFF"/>
              <w:lang w:bidi="ar"/>
            </w:rPr>
            <w:t>上海市宝山南大TOD控规调整公示</w:t>
          </w:r>
          <w:r>
            <w:rPr>
              <w:rFonts w:hint="eastAsia"/>
            </w:rPr>
            <w:tab/>
          </w:r>
          <w:r>
            <w:rPr>
              <w:rFonts w:hint="eastAsia"/>
            </w:rPr>
            <w:fldChar w:fldCharType="begin"/>
          </w:r>
          <w:r>
            <w:rPr>
              <w:rFonts w:hint="eastAsia"/>
            </w:rPr>
            <w:instrText xml:space="preserve"> </w:instrText>
          </w:r>
          <w:r>
            <w:instrText xml:space="preserve">PAGEREF _Toc179548851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67C8B36B">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"_Toc179548852" </w:instrText>
          </w:r>
          <w:r>
            <w:fldChar w:fldCharType="separate"/>
          </w:r>
          <w:r>
            <w:rPr>
              <w:rStyle w:val="30"/>
              <w:rFonts w:hint="eastAsia" w:ascii="仿宋" w:hAnsi="仿宋"/>
              <w:lang w:bidi="ar"/>
            </w:rPr>
            <w:t>5.</w:t>
          </w:r>
          <w:r>
            <w:rPr>
              <w:rFonts w:hint="eastAsia" w:cstheme="minorBidi"/>
              <w:kern w:val="2"/>
              <w:sz w:val="21"/>
              <w14:ligatures w14:val="standardContextual"/>
            </w:rPr>
            <w:tab/>
          </w:r>
          <w:r>
            <w:rPr>
              <w:rStyle w:val="30"/>
              <w:rFonts w:hint="eastAsia" w:ascii="仿宋" w:hAnsi="仿宋"/>
              <w:shd w:val="clear" w:color="auto" w:fill="FFFFFF"/>
              <w:lang w:bidi="ar"/>
            </w:rPr>
            <w:t>广州TOD项目SMART TOD亮相</w:t>
          </w:r>
          <w:r>
            <w:rPr>
              <w:rFonts w:hint="eastAsia"/>
            </w:rPr>
            <w:tab/>
          </w:r>
          <w:r>
            <w:rPr>
              <w:rFonts w:hint="eastAsia"/>
            </w:rPr>
            <w:fldChar w:fldCharType="begin"/>
          </w:r>
          <w:r>
            <w:rPr>
              <w:rFonts w:hint="eastAsia"/>
            </w:rPr>
            <w:instrText xml:space="preserve"> </w:instrText>
          </w:r>
          <w:r>
            <w:instrText xml:space="preserve">PAGEREF _Toc179548852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1997F2A1">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"_Toc179548853" </w:instrText>
          </w:r>
          <w:r>
            <w:fldChar w:fldCharType="separate"/>
          </w:r>
          <w:r>
            <w:rPr>
              <w:rStyle w:val="30"/>
              <w:rFonts w:hint="eastAsia" w:ascii="仿宋" w:hAnsi="仿宋"/>
              <w:lang w:bidi="ar"/>
            </w:rPr>
            <w:t>6.</w:t>
          </w:r>
          <w:r>
            <w:rPr>
              <w:rFonts w:hint="eastAsia" w:cstheme="minorBidi"/>
              <w:kern w:val="2"/>
              <w:sz w:val="21"/>
              <w14:ligatures w14:val="standardContextual"/>
            </w:rPr>
            <w:tab/>
          </w:r>
          <w:r>
            <w:rPr>
              <w:rStyle w:val="30"/>
              <w:rFonts w:hint="eastAsia" w:ascii="仿宋" w:hAnsi="仿宋"/>
              <w:shd w:val="clear" w:color="auto" w:fill="FFFFFF"/>
              <w:lang w:bidi="ar"/>
            </w:rPr>
            <w:t>广州地铁西塱站创国内存量车辆段及车站全程不停运的更新改造范式</w:t>
          </w:r>
          <w:r>
            <w:rPr>
              <w:rFonts w:hint="eastAsia"/>
            </w:rPr>
            <w:tab/>
          </w:r>
          <w:r>
            <w:rPr>
              <w:rFonts w:hint="eastAsia"/>
            </w:rPr>
            <w:fldChar w:fldCharType="begin"/>
          </w:r>
          <w:r>
            <w:rPr>
              <w:rFonts w:hint="eastAsia"/>
            </w:rPr>
            <w:instrText xml:space="preserve"> </w:instrText>
          </w:r>
          <w:r>
            <w:instrText xml:space="preserve">PAGEREF _Toc179548853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7543CD65">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"_Toc179548854" </w:instrText>
          </w:r>
          <w:r>
            <w:fldChar w:fldCharType="separate"/>
          </w:r>
          <w:r>
            <w:rPr>
              <w:rStyle w:val="30"/>
              <w:rFonts w:hint="eastAsia" w:ascii="仿宋" w:hAnsi="仿宋"/>
              <w:lang w:bidi="ar"/>
            </w:rPr>
            <w:t>7.</w:t>
          </w:r>
          <w:r>
            <w:rPr>
              <w:rFonts w:hint="eastAsia" w:cstheme="minorBidi"/>
              <w:kern w:val="2"/>
              <w:sz w:val="21"/>
              <w14:ligatures w14:val="standardContextual"/>
            </w:rPr>
            <w:tab/>
          </w:r>
          <w:r>
            <w:rPr>
              <w:rStyle w:val="30"/>
              <w:rFonts w:hint="eastAsia" w:ascii="仿宋" w:hAnsi="仿宋"/>
              <w:shd w:val="clear" w:color="auto" w:fill="FFFFFF"/>
              <w:lang w:bidi="ar"/>
            </w:rPr>
            <w:t>东北首个公交枢纽TOD项目-大连五一广场将投用</w:t>
          </w:r>
          <w:r>
            <w:rPr>
              <w:rFonts w:hint="eastAsia"/>
            </w:rPr>
            <w:tab/>
          </w:r>
          <w:r>
            <w:rPr>
              <w:rFonts w:hint="eastAsia"/>
            </w:rPr>
            <w:fldChar w:fldCharType="begin"/>
          </w:r>
          <w:r>
            <w:rPr>
              <w:rFonts w:hint="eastAsia"/>
            </w:rPr>
            <w:instrText xml:space="preserve"> </w:instrText>
          </w:r>
          <w:r>
            <w:instrText xml:space="preserve">PAGEREF _Toc179548854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452BA3C3">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"_Toc179548855" </w:instrText>
          </w:r>
          <w:r>
            <w:fldChar w:fldCharType="separate"/>
          </w:r>
          <w:r>
            <w:rPr>
              <w:rStyle w:val="30"/>
              <w:rFonts w:hint="eastAsia" w:ascii="仿宋" w:hAnsi="仿宋"/>
              <w:lang w:bidi="ar"/>
            </w:rPr>
            <w:t>8.</w:t>
          </w:r>
          <w:r>
            <w:rPr>
              <w:rFonts w:hint="eastAsia" w:cstheme="minorBidi"/>
              <w:kern w:val="2"/>
              <w:sz w:val="21"/>
              <w14:ligatures w14:val="standardContextual"/>
            </w:rPr>
            <w:tab/>
          </w:r>
          <w:r>
            <w:rPr>
              <w:rStyle w:val="30"/>
              <w:rFonts w:hint="eastAsia" w:ascii="仿宋" w:hAnsi="仿宋"/>
              <w:shd w:val="clear" w:color="auto" w:fill="FFFFFF"/>
              <w:lang w:bidi="ar"/>
            </w:rPr>
            <w:t>南京北站枢纽工程开工活动在南京江北新区举行</w:t>
          </w:r>
          <w:r>
            <w:rPr>
              <w:rFonts w:hint="eastAsia"/>
            </w:rPr>
            <w:tab/>
          </w:r>
          <w:r>
            <w:rPr>
              <w:rFonts w:hint="eastAsia"/>
            </w:rPr>
            <w:fldChar w:fldCharType="begin"/>
          </w:r>
          <w:r>
            <w:rPr>
              <w:rFonts w:hint="eastAsia"/>
            </w:rPr>
            <w:instrText xml:space="preserve"> </w:instrText>
          </w:r>
          <w:r>
            <w:instrText xml:space="preserve">PAGEREF _Toc179548855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36364449">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"_Toc179548856" </w:instrText>
          </w:r>
          <w:r>
            <w:fldChar w:fldCharType="separate"/>
          </w:r>
          <w:r>
            <w:rPr>
              <w:rStyle w:val="30"/>
              <w:rFonts w:hint="eastAsia" w:ascii="仿宋" w:hAnsi="仿宋"/>
              <w:lang w:bidi="ar"/>
            </w:rPr>
            <w:t>9.</w:t>
          </w:r>
          <w:r>
            <w:rPr>
              <w:rFonts w:hint="eastAsia" w:cstheme="minorBidi"/>
              <w:kern w:val="2"/>
              <w:sz w:val="21"/>
              <w14:ligatures w14:val="standardContextual"/>
            </w:rPr>
            <w:tab/>
          </w:r>
          <w:r>
            <w:rPr>
              <w:rStyle w:val="30"/>
              <w:rFonts w:hint="eastAsia" w:ascii="仿宋" w:hAnsi="仿宋"/>
              <w:shd w:val="clear" w:color="auto" w:fill="FFFFFF"/>
              <w:lang w:bidi="ar"/>
            </w:rPr>
            <w:t>济南王府庄车辆段租赁住房项目预计年底实现交付</w:t>
          </w:r>
          <w:r>
            <w:rPr>
              <w:rFonts w:hint="eastAsia"/>
            </w:rPr>
            <w:tab/>
          </w:r>
          <w:r>
            <w:rPr>
              <w:rFonts w:hint="eastAsia"/>
            </w:rPr>
            <w:fldChar w:fldCharType="begin"/>
          </w:r>
          <w:r>
            <w:rPr>
              <w:rFonts w:hint="eastAsia"/>
            </w:rPr>
            <w:instrText xml:space="preserve"> </w:instrText>
          </w:r>
          <w:r>
            <w:instrText xml:space="preserve">PAGEREF _Toc179548856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5AE67331">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"_Toc179548857" </w:instrText>
          </w:r>
          <w:r>
            <w:fldChar w:fldCharType="separate"/>
          </w:r>
          <w:r>
            <w:rPr>
              <w:rStyle w:val="30"/>
              <w:rFonts w:hint="eastAsia" w:ascii="仿宋" w:hAnsi="仿宋"/>
              <w:lang w:bidi="ar"/>
            </w:rPr>
            <w:t>10.</w:t>
          </w:r>
          <w:r>
            <w:rPr>
              <w:rFonts w:hint="eastAsia" w:cstheme="minorBidi"/>
              <w:kern w:val="2"/>
              <w:sz w:val="21"/>
              <w14:ligatures w14:val="standardContextual"/>
            </w:rPr>
            <w:tab/>
          </w:r>
          <w:r>
            <w:rPr>
              <w:rStyle w:val="30"/>
              <w:rFonts w:hint="eastAsia" w:ascii="仿宋" w:hAnsi="仿宋"/>
              <w:shd w:val="clear" w:color="auto" w:fill="FFFFFF"/>
              <w:lang w:bidi="ar"/>
            </w:rPr>
            <w:t>南通火车站综合客运枢纽开发工程开工</w:t>
          </w:r>
          <w:r>
            <w:rPr>
              <w:rFonts w:hint="eastAsia"/>
            </w:rPr>
            <w:tab/>
          </w:r>
          <w:r>
            <w:rPr>
              <w:rFonts w:hint="eastAsia"/>
            </w:rPr>
            <w:fldChar w:fldCharType="begin"/>
          </w:r>
          <w:r>
            <w:rPr>
              <w:rFonts w:hint="eastAsia"/>
            </w:rPr>
            <w:instrText xml:space="preserve"> </w:instrText>
          </w:r>
          <w:r>
            <w:instrText xml:space="preserve">PAGEREF _Toc179548857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55DE145D">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"_Toc179548858" </w:instrText>
          </w:r>
          <w:r>
            <w:fldChar w:fldCharType="separate"/>
          </w:r>
          <w:r>
            <w:rPr>
              <w:rStyle w:val="30"/>
              <w:rFonts w:hint="eastAsia" w:ascii="仿宋" w:hAnsi="仿宋"/>
              <w:lang w:bidi="ar"/>
            </w:rPr>
            <w:t>11.</w:t>
          </w:r>
          <w:r>
            <w:rPr>
              <w:rFonts w:hint="eastAsia" w:cstheme="minorBidi"/>
              <w:kern w:val="2"/>
              <w:sz w:val="21"/>
              <w14:ligatures w14:val="standardContextual"/>
            </w:rPr>
            <w:tab/>
          </w:r>
          <w:r>
            <w:rPr>
              <w:rStyle w:val="30"/>
              <w:rFonts w:hint="eastAsia" w:ascii="仿宋" w:hAnsi="仿宋"/>
              <w:shd w:val="clear" w:color="auto" w:fill="FFFFFF"/>
              <w:lang w:bidi="ar"/>
            </w:rPr>
            <w:t>东莞市旗云城市广场项目打造沉浸式、互动式主题商业综合体</w:t>
          </w:r>
          <w:r>
            <w:rPr>
              <w:rFonts w:hint="eastAsia"/>
            </w:rPr>
            <w:tab/>
          </w:r>
          <w:r>
            <w:rPr>
              <w:rFonts w:hint="eastAsia"/>
            </w:rPr>
            <w:fldChar w:fldCharType="begin"/>
          </w:r>
          <w:r>
            <w:rPr>
              <w:rFonts w:hint="eastAsia"/>
            </w:rPr>
            <w:instrText xml:space="preserve"> </w:instrText>
          </w:r>
          <w:r>
            <w:instrText xml:space="preserve">PAGEREF _Toc179548858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43C00D66">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"_Toc179548859" </w:instrText>
          </w:r>
          <w:r>
            <w:fldChar w:fldCharType="separate"/>
          </w:r>
          <w:r>
            <w:rPr>
              <w:rStyle w:val="30"/>
              <w:rFonts w:hint="eastAsia" w:ascii="仿宋" w:hAnsi="仿宋"/>
              <w:lang w:bidi="ar"/>
            </w:rPr>
            <w:t>12.</w:t>
          </w:r>
          <w:r>
            <w:rPr>
              <w:rFonts w:hint="eastAsia" w:cstheme="minorBidi"/>
              <w:kern w:val="2"/>
              <w:sz w:val="21"/>
              <w14:ligatures w14:val="standardContextual"/>
            </w:rPr>
            <w:tab/>
          </w:r>
          <w:r>
            <w:rPr>
              <w:rStyle w:val="30"/>
              <w:rFonts w:hint="eastAsia" w:ascii="仿宋" w:hAnsi="仿宋"/>
              <w:shd w:val="clear" w:color="auto" w:fill="FFFFFF"/>
              <w:lang w:bidi="ar"/>
            </w:rPr>
            <w:t>绍兴中交·未来星城TOD生活艺术馆开放</w:t>
          </w:r>
          <w:r>
            <w:rPr>
              <w:rFonts w:hint="eastAsia"/>
            </w:rPr>
            <w:tab/>
          </w:r>
          <w:r>
            <w:rPr>
              <w:rFonts w:hint="eastAsia"/>
            </w:rPr>
            <w:fldChar w:fldCharType="begin"/>
          </w:r>
          <w:r>
            <w:rPr>
              <w:rFonts w:hint="eastAsia"/>
            </w:rPr>
            <w:instrText xml:space="preserve"> </w:instrText>
          </w:r>
          <w:r>
            <w:instrText xml:space="preserve">PAGEREF _Toc179548859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39CEE52F">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"_Toc179548860" </w:instrText>
          </w:r>
          <w:r>
            <w:fldChar w:fldCharType="separate"/>
          </w:r>
          <w:r>
            <w:rPr>
              <w:rStyle w:val="30"/>
              <w:rFonts w:hint="eastAsia" w:ascii="仿宋" w:hAnsi="仿宋"/>
              <w:lang w:bidi="ar"/>
            </w:rPr>
            <w:t>13.</w:t>
          </w:r>
          <w:r>
            <w:rPr>
              <w:rFonts w:hint="eastAsia" w:cstheme="minorBidi"/>
              <w:kern w:val="2"/>
              <w:sz w:val="21"/>
              <w14:ligatures w14:val="standardContextual"/>
            </w:rPr>
            <w:tab/>
          </w:r>
          <w:r>
            <w:rPr>
              <w:rStyle w:val="30"/>
              <w:rFonts w:hint="eastAsia" w:ascii="仿宋" w:hAnsi="仿宋"/>
              <w:shd w:val="clear" w:color="auto" w:fill="FFFFFF"/>
              <w:lang w:bidi="ar"/>
            </w:rPr>
            <w:t>成都四川师大站静桉南TOD综合开发项目（住宅）首批次顺利封顶</w:t>
          </w:r>
          <w:r>
            <w:rPr>
              <w:rFonts w:hint="eastAsia"/>
            </w:rPr>
            <w:tab/>
          </w:r>
          <w:r>
            <w:rPr>
              <w:rFonts w:hint="eastAsia"/>
            </w:rPr>
            <w:fldChar w:fldCharType="begin"/>
          </w:r>
          <w:r>
            <w:rPr>
              <w:rFonts w:hint="eastAsia"/>
            </w:rPr>
            <w:instrText xml:space="preserve"> </w:instrText>
          </w:r>
          <w:r>
            <w:instrText xml:space="preserve">PAGEREF _Toc179548860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513B21D3">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"_Toc179548861" </w:instrText>
          </w:r>
          <w:r>
            <w:fldChar w:fldCharType="separate"/>
          </w:r>
          <w:r>
            <w:rPr>
              <w:rStyle w:val="30"/>
              <w:rFonts w:hint="eastAsia" w:ascii="仿宋" w:hAnsi="仿宋"/>
              <w:lang w:bidi="ar"/>
            </w:rPr>
            <w:t>14.</w:t>
          </w:r>
          <w:r>
            <w:rPr>
              <w:rFonts w:hint="eastAsia" w:cstheme="minorBidi"/>
              <w:kern w:val="2"/>
              <w:sz w:val="21"/>
              <w14:ligatures w14:val="standardContextual"/>
            </w:rPr>
            <w:tab/>
          </w:r>
          <w:r>
            <w:rPr>
              <w:rStyle w:val="30"/>
              <w:rFonts w:hint="eastAsia" w:ascii="仿宋" w:hAnsi="仿宋"/>
              <w:shd w:val="clear" w:color="auto" w:fill="FFFFFF"/>
              <w:lang w:bidi="ar"/>
            </w:rPr>
            <w:t>杭州余杭区首个地铁上盖安置房项目开工</w:t>
          </w:r>
          <w:r>
            <w:rPr>
              <w:rFonts w:hint="eastAsia"/>
            </w:rPr>
            <w:tab/>
          </w:r>
          <w:r>
            <w:rPr>
              <w:rFonts w:hint="eastAsia"/>
            </w:rPr>
            <w:fldChar w:fldCharType="begin"/>
          </w:r>
          <w:r>
            <w:rPr>
              <w:rFonts w:hint="eastAsia"/>
            </w:rPr>
            <w:instrText xml:space="preserve"> </w:instrText>
          </w:r>
          <w:r>
            <w:instrText xml:space="preserve">PAGEREF _Toc179548861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648D8F1D">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"_Toc179548862" </w:instrText>
          </w:r>
          <w:r>
            <w:fldChar w:fldCharType="separate"/>
          </w:r>
          <w:r>
            <w:rPr>
              <w:rStyle w:val="30"/>
              <w:rFonts w:hint="eastAsia" w:ascii="仿宋" w:hAnsi="仿宋"/>
              <w:lang w:bidi="ar"/>
            </w:rPr>
            <w:t>15.</w:t>
          </w:r>
          <w:r>
            <w:rPr>
              <w:rFonts w:hint="eastAsia" w:cstheme="minorBidi"/>
              <w:kern w:val="2"/>
              <w:sz w:val="21"/>
              <w14:ligatures w14:val="standardContextual"/>
            </w:rPr>
            <w:tab/>
          </w:r>
          <w:r>
            <w:rPr>
              <w:rStyle w:val="30"/>
              <w:rFonts w:hint="eastAsia" w:ascii="仿宋" w:hAnsi="仿宋"/>
              <w:shd w:val="clear" w:color="auto" w:fill="FFFFFF"/>
              <w:lang w:bidi="ar"/>
            </w:rPr>
            <w:t>杭州城东地铁口地块控规由商业商务调整为保障房</w:t>
          </w:r>
          <w:r>
            <w:rPr>
              <w:rFonts w:hint="eastAsia"/>
            </w:rPr>
            <w:tab/>
          </w:r>
          <w:r>
            <w:rPr>
              <w:rFonts w:hint="eastAsia"/>
            </w:rPr>
            <w:fldChar w:fldCharType="begin"/>
          </w:r>
          <w:r>
            <w:rPr>
              <w:rFonts w:hint="eastAsia"/>
            </w:rPr>
            <w:instrText xml:space="preserve"> </w:instrText>
          </w:r>
          <w:r>
            <w:instrText xml:space="preserve">PAGEREF _Toc179548862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415810AE">
          <w:pPr>
            <w:ind w:firstLine="482"/>
            <w:rPr>
              <w:rFonts w:hint="eastAsia" w:ascii="仿宋" w:hAnsi="仿宋"/>
            </w:rPr>
          </w:pPr>
          <w:r>
            <w:rPr>
              <w:rFonts w:ascii="仿宋" w:hAnsi="仿宋"/>
              <w:b/>
              <w:bCs/>
              <w:lang w:val="zh-CN"/>
            </w:rPr>
            <w:fldChar w:fldCharType="end"/>
          </w:r>
        </w:p>
      </w:sdtContent>
    </w:sdt>
    <w:p w14:paraId="39D65A48">
      <w:pPr>
        <w:spacing w:before="163" w:beforeLines="50" w:after="163" w:afterLines="50"/>
        <w:ind w:firstLine="480"/>
        <w:rPr>
          <w:rFonts w:hint="eastAsia" w:ascii="仿宋" w:hAnsi="仿宋"/>
          <w:szCs w:val="36"/>
        </w:rPr>
        <w:sectPr>
          <w:headerReference r:id="rId11" w:type="default"/>
          <w:pgSz w:w="11906" w:h="16838"/>
          <w:pgMar w:top="1440" w:right="1800" w:bottom="1440" w:left="1800" w:header="1474" w:footer="964" w:gutter="0"/>
          <w:pgNumType w:start="1"/>
          <w:cols w:space="425" w:num="1"/>
          <w:docGrid w:type="lines" w:linePitch="326" w:charSpace="0"/>
        </w:sectPr>
      </w:pPr>
    </w:p>
    <w:p w14:paraId="033B981B">
      <w:pPr>
        <w:spacing w:before="163" w:beforeLines="50" w:after="163" w:afterLines="50"/>
        <w:ind w:firstLine="480"/>
        <w:rPr>
          <w:rFonts w:hint="eastAsia" w:ascii="仿宋" w:hAnsi="仿宋"/>
          <w:szCs w:val="36"/>
        </w:rPr>
      </w:pPr>
      <w:r>
        <w:rPr>
          <w:rFonts w:hint="eastAsia" w:ascii="仿宋" w:hAnsi="仿宋"/>
          <w:szCs w:val="36"/>
        </w:rPr>
        <w:t>《中国城市轨道交通</w:t>
      </w:r>
      <w:r>
        <w:rPr>
          <w:rFonts w:ascii="仿宋" w:hAnsi="仿宋"/>
          <w:szCs w:val="36"/>
        </w:rPr>
        <w:t>TOD监测月报》是由上海易居房地产研究院与中国国土经济学会国土交通综合规划与开发（TOD）专业委员会共同研发，旨在以动态的眼光、全面的视角跟踪全国及各城市TOD政策及行业动向，地铁公司和典型房企的TOD土地成交和项目动态，进而了解并研判行业发展的新政策、新动态和新方向。</w:t>
      </w:r>
    </w:p>
    <w:p w14:paraId="20470825">
      <w:pPr>
        <w:pStyle w:val="2"/>
        <w:keepLines/>
        <w:widowControl w:val="0"/>
        <w:spacing w:before="163" w:after="163"/>
        <w:ind w:firstLine="562"/>
        <w:jc w:val="center"/>
        <w:rPr>
          <w:rFonts w:hint="eastAsia" w:ascii="仿宋" w:hAnsi="仿宋" w:cs="Times New Roman"/>
          <w:color w:val="5B9BD5" w:themeColor="accent5"/>
          <w:kern w:val="44"/>
          <w:sz w:val="28"/>
          <w14:textFill>
            <w14:solidFill>
              <w14:schemeClr w14:val="accent5"/>
            </w14:solidFill>
          </w14:textFill>
        </w:rPr>
      </w:pPr>
      <w:bookmarkStart w:id="4" w:name="_Toc166095658"/>
      <w:bookmarkStart w:id="5" w:name="_Toc179548818"/>
      <w:bookmarkStart w:id="6" w:name="_Toc166169573"/>
      <w:r>
        <w:rPr>
          <w:rFonts w:ascii="仿宋" w:hAnsi="仿宋"/>
          <w:b w:val="0"/>
          <w:bCs w:val="0"/>
        </w:rPr>
        <mc:AlternateContent>
          <mc:Choice Requires="wps">
            <w:drawing>
              <wp:anchor distT="118745" distB="118745" distL="114300" distR="114300" simplePos="0" relativeHeight="251665408" behindDoc="0" locked="0" layoutInCell="0" allowOverlap="1">
                <wp:simplePos x="0" y="0"/>
                <wp:positionH relativeFrom="margin">
                  <wp:posOffset>-95250</wp:posOffset>
                </wp:positionH>
                <wp:positionV relativeFrom="page">
                  <wp:posOffset>3270250</wp:posOffset>
                </wp:positionV>
                <wp:extent cx="5535295" cy="6301740"/>
                <wp:effectExtent l="0" t="0" r="8255" b="381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35295" cy="6301740"/>
                        </a:xfrm>
                        <a:prstGeom prst="rect">
                          <a:avLst/>
                        </a:prstGeom>
                        <a:solidFill>
                          <a:schemeClr val="accent1">
                            <a:lumMod val="20000"/>
                            <a:lumOff val="80000"/>
                          </a:schemeClr>
                        </a:solidFill>
                      </wps:spPr>
                      <wps:txbx>
                        <w:txbxContent>
                          <w:p w14:paraId="509ABCBD">
                            <w:pPr>
                              <w:pStyle w:val="32"/>
                              <w:numPr>
                                <w:ilvl w:val="0"/>
                                <w:numId w:val="1"/>
                              </w:numPr>
                              <w:ind w:left="0" w:firstLine="480"/>
                              <w:jc w:val="both"/>
                              <w:rPr>
                                <w:rFonts w:hint="eastAsia" w:ascii="仿宋" w:hAnsi="仿宋"/>
                                <w:szCs w:val="28"/>
                              </w:rPr>
                            </w:pPr>
                            <w:r>
                              <w:rPr>
                                <w:rFonts w:hint="eastAsia" w:ascii="仿宋" w:hAnsi="仿宋"/>
                                <w:szCs w:val="28"/>
                              </w:rPr>
                              <w:t>政策动态方面，9月多个城市的国土空间总体规划获得国务院批复，自然资源部印发《关于探索推进城市地下空间开发利用的指导意见》，旨在</w:t>
                            </w:r>
                            <w:r>
                              <w:rPr>
                                <w:rFonts w:ascii="仿宋" w:hAnsi="仿宋"/>
                              </w:rPr>
                              <w:t>充分挖掘地下空间资源潜力，增强城市综合承载能力</w:t>
                            </w:r>
                            <w:r>
                              <w:rPr>
                                <w:rFonts w:hint="eastAsia" w:ascii="仿宋" w:hAnsi="仿宋"/>
                              </w:rPr>
                              <w:t>。此外，</w:t>
                            </w:r>
                            <w:r>
                              <w:rPr>
                                <w:rFonts w:hint="eastAsia" w:ascii="仿宋" w:hAnsi="仿宋"/>
                                <w:szCs w:val="28"/>
                              </w:rPr>
                              <w:t>交通运输部印发城市公共交通优先发展和绿色出行12个典型案例，推广好经验好做</w:t>
                            </w:r>
                          </w:p>
                          <w:p w14:paraId="4F0C4544">
                            <w:pPr>
                              <w:pStyle w:val="32"/>
                              <w:numPr>
                                <w:ilvl w:val="0"/>
                                <w:numId w:val="1"/>
                              </w:numPr>
                              <w:ind w:left="0" w:firstLine="480"/>
                              <w:jc w:val="both"/>
                              <w:rPr>
                                <w:rFonts w:hint="eastAsia" w:ascii="仿宋" w:hAnsi="仿宋"/>
                                <w:szCs w:val="28"/>
                              </w:rPr>
                            </w:pPr>
                            <w:r>
                              <w:rPr>
                                <w:rFonts w:hint="eastAsia" w:ascii="仿宋" w:hAnsi="仿宋"/>
                                <w:szCs w:val="28"/>
                              </w:rPr>
                              <w:t>行业动态方面，中原首届深港商办投资节启动，推售地铁沿线非住宅优质楼盘。《福建省“十五五”综合交通运输发展专项规划》研究大纲审查会召开</w:t>
                            </w:r>
                            <w:r>
                              <w:rPr>
                                <w:rFonts w:ascii="仿宋" w:hAnsi="仿宋"/>
                                <w:szCs w:val="28"/>
                              </w:rPr>
                              <w:t>，</w:t>
                            </w:r>
                            <w:r>
                              <w:rPr>
                                <w:rFonts w:hint="eastAsia" w:ascii="仿宋" w:hAnsi="仿宋"/>
                                <w:szCs w:val="28"/>
                              </w:rPr>
                              <w:t>体现了福建省对</w:t>
                            </w:r>
                            <w:r>
                              <w:rPr>
                                <w:rFonts w:ascii="仿宋" w:hAnsi="仿宋"/>
                                <w:szCs w:val="28"/>
                              </w:rPr>
                              <w:t>“十五五”</w:t>
                            </w:r>
                            <w:r>
                              <w:rPr>
                                <w:rFonts w:hint="eastAsia" w:ascii="仿宋" w:hAnsi="仿宋"/>
                                <w:szCs w:val="28"/>
                              </w:rPr>
                              <w:t>交通发展的前瞻谋划。</w:t>
                            </w:r>
                            <w:r>
                              <w:rPr>
                                <w:rFonts w:ascii="仿宋" w:hAnsi="仿宋"/>
                                <w:szCs w:val="28"/>
                              </w:rPr>
                              <w:t>上海洞泾停车场上盖开发项目</w:t>
                            </w:r>
                            <w:r>
                              <w:rPr>
                                <w:rFonts w:hint="eastAsia" w:ascii="仿宋" w:hAnsi="仿宋"/>
                                <w:szCs w:val="28"/>
                              </w:rPr>
                              <w:t>的推进，以及</w:t>
                            </w:r>
                            <w:r>
                              <w:rPr>
                                <w:rFonts w:ascii="仿宋" w:hAnsi="仿宋"/>
                                <w:szCs w:val="28"/>
                              </w:rPr>
                              <w:t>长三角轨道交通运营公司</w:t>
                            </w:r>
                            <w:r>
                              <w:rPr>
                                <w:rFonts w:hint="eastAsia" w:ascii="仿宋" w:hAnsi="仿宋"/>
                                <w:szCs w:val="28"/>
                              </w:rPr>
                              <w:t>的组建，都标志着区域交通一体化正在加速实现</w:t>
                            </w:r>
                            <w:r>
                              <w:rPr>
                                <w:rFonts w:ascii="仿宋" w:hAnsi="仿宋"/>
                                <w:szCs w:val="28"/>
                              </w:rPr>
                              <w:t>。</w:t>
                            </w:r>
                          </w:p>
                          <w:p w14:paraId="0C13BE38">
                            <w:pPr>
                              <w:pStyle w:val="32"/>
                              <w:numPr>
                                <w:ilvl w:val="0"/>
                                <w:numId w:val="1"/>
                              </w:numPr>
                              <w:ind w:left="0" w:firstLine="480"/>
                              <w:jc w:val="both"/>
                              <w:rPr>
                                <w:rFonts w:hint="eastAsia" w:ascii="仿宋" w:hAnsi="仿宋"/>
                                <w:szCs w:val="28"/>
                              </w:rPr>
                            </w:pPr>
                            <w:r>
                              <w:rPr>
                                <w:rFonts w:hint="eastAsia" w:ascii="仿宋" w:hAnsi="仿宋"/>
                                <w:szCs w:val="28"/>
                              </w:rPr>
                              <w:t>企业动态方面，企业活跃度显著提升。9月TOD土地成交7幅，其中万科联合杭州地铁获得杭州一幅综合地块，昆明地铁获得四幅安置房地块。青岛地铁与中国十七冶集团、广州地铁设计院与中建四局投资发展公司、远洋建管与武汉地铁等开展了TOD领域的合作。此外，广州市城市规划设计公司申请地铁车辆段上盖开发宜居适宜性评估专利，为车辆段上盖开发规划提供科学的依据和分析评估工具，有助于推动行业的高质量发展。</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方面，地铁TOD项目在保障房建设上的投入加大，如杭州余杭区的地铁上盖安置房项目和济南王府庄车辆段租赁住房项目的推进，均体现了TOD模式在提升城市居住条件和优化土地利用方面的潜力。广州地铁西塱站的更新改造，展示了国内存量车辆段及车站全程不停运的更新改造范式，对于存量项目的更新具有示范意义。</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57.5pt;height:496.2pt;width:435.85pt;mso-position-horizontal-relative:margin;mso-position-vertical-relative:page;mso-wrap-distance-bottom:9.35pt;mso-wrap-distance-left:9pt;mso-wrap-distance-right:9pt;mso-wrap-distance-top:9.35pt;z-index:251665408;mso-width-relative:page;mso-height-relative:page;" fillcolor="#DAE3F3 [660]" filled="t" stroked="f" coordsize="21600,21600" o:allowincell="f" o:gfxdata="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MwhndkAAAAMAQAADwAAAAAAAAABACAAAAAi&#10;AAAAZHJzL2Rvd25yZXYueG1sUEsBAhQAFAAAAAgAh07iQMNsueZCAgAAYgQAAA4AAAAAAAAAAQAg&#10;AAAAKAEAAGRycy9lMm9Eb2MueG1sUEsFBgAAAAAGAAYAWQEAANwFAAAAAA==&#10;">
                <v:fill on="t" focussize="0,0"/>
                <v:stroke on="f"/>
                <v:imagedata o:title=""/>
                <o:lock v:ext="edit" aspectratio="f"/>
                <v:textbox>
                  <w:txbxContent>
                    <w:p w14:paraId="509ABCBD">
                      <w:pPr>
                        <w:pStyle w:val="32"/>
                        <w:numPr>
                          <w:ilvl w:val="0"/>
                          <w:numId w:val="1"/>
                        </w:numPr>
                        <w:ind w:left="0" w:firstLine="480"/>
                        <w:jc w:val="both"/>
                        <w:rPr>
                          <w:rFonts w:hint="eastAsia" w:ascii="仿宋" w:hAnsi="仿宋"/>
                          <w:szCs w:val="28"/>
                        </w:rPr>
                      </w:pPr>
                      <w:r>
                        <w:rPr>
                          <w:rFonts w:hint="eastAsia" w:ascii="仿宋" w:hAnsi="仿宋"/>
                          <w:szCs w:val="28"/>
                        </w:rPr>
                        <w:t>政策动态方面，9月多个城市的国土空间总体规划获得国务院批复，自然资源部印发《关于探索推进城市地下空间开发利用的指导意见》，旨在</w:t>
                      </w:r>
                      <w:r>
                        <w:rPr>
                          <w:rFonts w:ascii="仿宋" w:hAnsi="仿宋"/>
                        </w:rPr>
                        <w:t>充分挖掘地下空间资源潜力，增强城市综合承载能力</w:t>
                      </w:r>
                      <w:r>
                        <w:rPr>
                          <w:rFonts w:hint="eastAsia" w:ascii="仿宋" w:hAnsi="仿宋"/>
                        </w:rPr>
                        <w:t>。此外，</w:t>
                      </w:r>
                      <w:r>
                        <w:rPr>
                          <w:rFonts w:hint="eastAsia" w:ascii="仿宋" w:hAnsi="仿宋"/>
                          <w:szCs w:val="28"/>
                        </w:rPr>
                        <w:t>交通运输部印发城市公共交通优先发展和绿色出行12个典型案例，推广好经验好做</w:t>
                      </w:r>
                    </w:p>
                    <w:p w14:paraId="4F0C4544">
                      <w:pPr>
                        <w:pStyle w:val="32"/>
                        <w:numPr>
                          <w:ilvl w:val="0"/>
                          <w:numId w:val="1"/>
                        </w:numPr>
                        <w:ind w:left="0" w:firstLine="480"/>
                        <w:jc w:val="both"/>
                        <w:rPr>
                          <w:rFonts w:hint="eastAsia" w:ascii="仿宋" w:hAnsi="仿宋"/>
                          <w:szCs w:val="28"/>
                        </w:rPr>
                      </w:pPr>
                      <w:r>
                        <w:rPr>
                          <w:rFonts w:hint="eastAsia" w:ascii="仿宋" w:hAnsi="仿宋"/>
                          <w:szCs w:val="28"/>
                        </w:rPr>
                        <w:t>行业动态方面，中原首届深港商办投资节启动，推售地铁沿线非住宅优质楼盘。《福建省“十五五”综合交通运输发展专项规划》研究大纲审查会召开</w:t>
                      </w:r>
                      <w:r>
                        <w:rPr>
                          <w:rFonts w:ascii="仿宋" w:hAnsi="仿宋"/>
                          <w:szCs w:val="28"/>
                        </w:rPr>
                        <w:t>，</w:t>
                      </w:r>
                      <w:r>
                        <w:rPr>
                          <w:rFonts w:hint="eastAsia" w:ascii="仿宋" w:hAnsi="仿宋"/>
                          <w:szCs w:val="28"/>
                        </w:rPr>
                        <w:t>体现了福建省对</w:t>
                      </w:r>
                      <w:r>
                        <w:rPr>
                          <w:rFonts w:ascii="仿宋" w:hAnsi="仿宋"/>
                          <w:szCs w:val="28"/>
                        </w:rPr>
                        <w:t>“十五五”</w:t>
                      </w:r>
                      <w:r>
                        <w:rPr>
                          <w:rFonts w:hint="eastAsia" w:ascii="仿宋" w:hAnsi="仿宋"/>
                          <w:szCs w:val="28"/>
                        </w:rPr>
                        <w:t>交通发展的前瞻谋划。</w:t>
                      </w:r>
                      <w:r>
                        <w:rPr>
                          <w:rFonts w:ascii="仿宋" w:hAnsi="仿宋"/>
                          <w:szCs w:val="28"/>
                        </w:rPr>
                        <w:t>上海洞泾停车场上盖开发项目</w:t>
                      </w:r>
                      <w:r>
                        <w:rPr>
                          <w:rFonts w:hint="eastAsia" w:ascii="仿宋" w:hAnsi="仿宋"/>
                          <w:szCs w:val="28"/>
                        </w:rPr>
                        <w:t>的推进，以及</w:t>
                      </w:r>
                      <w:r>
                        <w:rPr>
                          <w:rFonts w:ascii="仿宋" w:hAnsi="仿宋"/>
                          <w:szCs w:val="28"/>
                        </w:rPr>
                        <w:t>长三角轨道交通运营公司</w:t>
                      </w:r>
                      <w:r>
                        <w:rPr>
                          <w:rFonts w:hint="eastAsia" w:ascii="仿宋" w:hAnsi="仿宋"/>
                          <w:szCs w:val="28"/>
                        </w:rPr>
                        <w:t>的组建，都标志着区域交通一体化正在加速实现</w:t>
                      </w:r>
                      <w:r>
                        <w:rPr>
                          <w:rFonts w:ascii="仿宋" w:hAnsi="仿宋"/>
                          <w:szCs w:val="28"/>
                        </w:rPr>
                        <w:t>。</w:t>
                      </w:r>
                    </w:p>
                    <w:p w14:paraId="0C13BE38">
                      <w:pPr>
                        <w:pStyle w:val="32"/>
                        <w:numPr>
                          <w:ilvl w:val="0"/>
                          <w:numId w:val="1"/>
                        </w:numPr>
                        <w:ind w:left="0" w:firstLine="480"/>
                        <w:jc w:val="both"/>
                        <w:rPr>
                          <w:rFonts w:hint="eastAsia" w:ascii="仿宋" w:hAnsi="仿宋"/>
                          <w:szCs w:val="28"/>
                        </w:rPr>
                      </w:pPr>
                      <w:r>
                        <w:rPr>
                          <w:rFonts w:hint="eastAsia" w:ascii="仿宋" w:hAnsi="仿宋"/>
                          <w:szCs w:val="28"/>
                        </w:rPr>
                        <w:t>企业动态方面，企业活跃度显著提升。9月TOD土地成交7幅，其中万科联合杭州地铁获得杭州一幅综合地块，昆明地铁获得四幅安置房地块。青岛地铁与中国十七冶集团、广州地铁设计院与中建四局投资发展公司、远洋建管与武汉地铁等开展了TOD领域的合作。此外，广州市城市规划设计公司申请地铁车辆段上盖开发宜居适宜性评估专利，为车辆段上盖开发规划提供科学的依据和分析评估工具，有助于推动行业的高质量发展。</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方面，地铁TOD项目在保障房建设上的投入加大，如杭州余杭区的地铁上盖安置房项目和济南王府庄车辆段租赁住房项目的推进，均体现了TOD模式在提升城市居住条件和优化土地利用方面的潜力。广州地铁西塱站的更新改造，展示了国内存量车辆段及车站全程不停运的更新改造范式，对于存量项目的更新具有示范意义。</w:t>
                      </w:r>
                    </w:p>
                  </w:txbxContent>
                </v:textbox>
                <w10:wrap type="square"/>
              </v:shape>
            </w:pict>
          </mc:Fallback>
        </mc:AlternateContent>
      </w:r>
      <w:r>
        <w:rPr>
          <w:rFonts w:ascii="仿宋" w:hAnsi="仿宋" w:cs="Times New Roman"/>
          <w:color w:val="5B9BD5" w:themeColor="accent5"/>
          <w:kern w:val="44"/>
          <w:sz w:val="28"/>
          <w14:textFill>
            <w14:solidFill>
              <w14:schemeClr w14:val="accent5"/>
            </w14:solidFill>
          </w14:textFill>
        </w:rPr>
        <w:t>摘要</w:t>
      </w:r>
      <w:bookmarkEnd w:id="4"/>
      <w:bookmarkEnd w:id="5"/>
      <w:bookmarkEnd w:id="6"/>
    </w:p>
    <w:p w14:paraId="423A5F8A">
      <w:pPr>
        <w:pStyle w:val="48"/>
        <w:ind w:firstLine="480"/>
        <w:rPr>
          <w:rFonts w:hint="eastAsia" w:ascii="仿宋" w:hAnsi="仿宋"/>
        </w:rPr>
        <w:sectPr>
          <w:pgSz w:w="11906" w:h="16838"/>
          <w:pgMar w:top="1440" w:right="1800" w:bottom="1440" w:left="1800" w:header="1474" w:footer="964" w:gutter="0"/>
          <w:pgNumType w:start="1"/>
          <w:cols w:space="425" w:num="1"/>
          <w:docGrid w:type="lines" w:linePitch="326" w:charSpace="0"/>
        </w:sectPr>
      </w:pPr>
    </w:p>
    <w:p w14:paraId="08517FA2">
      <w:pPr>
        <w:pStyle w:val="2"/>
        <w:keepLines/>
        <w:widowControl w:val="0"/>
        <w:spacing w:before="163" w:after="163"/>
        <w:ind w:firstLine="562"/>
        <w:jc w:val="center"/>
        <w:rPr>
          <w:rFonts w:hint="eastAsia" w:ascii="黑体" w:hAnsi="黑体" w:eastAsia="黑体" w:cs="Times New Roman"/>
          <w:color w:val="5B9BD5" w:themeColor="accent5"/>
          <w:kern w:val="44"/>
          <w:sz w:val="28"/>
          <w14:textFill>
            <w14:solidFill>
              <w14:schemeClr w14:val="accent5"/>
            </w14:solidFill>
          </w14:textFill>
        </w:rPr>
      </w:pPr>
      <w:bookmarkStart w:id="7" w:name="_Toc179548819"/>
      <w:r>
        <w:rPr>
          <w:rFonts w:hint="eastAsia" w:ascii="黑体" w:hAnsi="黑体" w:eastAsia="黑体" w:cs="Times New Roman"/>
          <w:color w:val="5B9BD5" w:themeColor="accent5"/>
          <w:kern w:val="44"/>
          <w:sz w:val="28"/>
          <w14:textFill>
            <w14:solidFill>
              <w14:schemeClr w14:val="accent5"/>
            </w14:solidFill>
          </w14:textFill>
        </w:rPr>
        <w:t>一</w:t>
      </w:r>
      <w:r>
        <w:rPr>
          <w:rFonts w:ascii="黑体" w:hAnsi="黑体" w:eastAsia="黑体" w:cs="Times New Roman"/>
          <w:color w:val="5B9BD5" w:themeColor="accent5"/>
          <w:kern w:val="44"/>
          <w:sz w:val="28"/>
          <w14:textFill>
            <w14:solidFill>
              <w14:schemeClr w14:val="accent5"/>
            </w14:solidFill>
          </w14:textFill>
        </w:rPr>
        <w:t>、政策动态</w:t>
      </w:r>
      <w:bookmarkEnd w:id="7"/>
    </w:p>
    <w:p w14:paraId="491C62FD">
      <w:pPr>
        <w:pStyle w:val="2"/>
        <w:numPr>
          <w:ilvl w:val="0"/>
          <w:numId w:val="2"/>
        </w:numPr>
        <w:rPr>
          <w:rFonts w:hint="eastAsia" w:ascii="仿宋" w:hAnsi="仿宋" w:cs="Arial"/>
          <w:color w:val="000000" w:themeColor="text1"/>
          <w:szCs w:val="28"/>
          <w:shd w:val="clear" w:color="auto" w:fill="FFFFFF"/>
          <w14:textFill>
            <w14:solidFill>
              <w14:schemeClr w14:val="tx1"/>
            </w14:solidFill>
          </w14:textFill>
        </w:rPr>
      </w:pPr>
      <w:bookmarkStart w:id="8" w:name="_Toc178345206"/>
      <w:bookmarkStart w:id="9" w:name="_Toc179548820"/>
      <w:bookmarkStart w:id="10" w:name="_Hlk163551680"/>
      <w:r>
        <w:rPr>
          <w:rFonts w:hint="eastAsia" w:ascii="仿宋" w:hAnsi="仿宋" w:cs="Arial"/>
          <w:color w:val="000000" w:themeColor="text1"/>
          <w:szCs w:val="28"/>
          <w:shd w:val="clear" w:color="auto" w:fill="FFFFFF"/>
          <w14:textFill>
            <w14:solidFill>
              <w14:schemeClr w14:val="tx1"/>
            </w14:solidFill>
          </w14:textFill>
        </w:rPr>
        <w:t>自然资源部印发《关于探索推进城市地下空间开发利用的指导意见</w:t>
      </w:r>
      <w:bookmarkEnd w:id="8"/>
      <w:r>
        <w:rPr>
          <w:rFonts w:hint="eastAsia" w:ascii="仿宋" w:hAnsi="仿宋" w:cs="Arial"/>
          <w:color w:val="000000" w:themeColor="text1"/>
          <w:szCs w:val="28"/>
          <w:shd w:val="clear" w:color="auto" w:fill="FFFFFF"/>
          <w14:textFill>
            <w14:solidFill>
              <w14:schemeClr w14:val="tx1"/>
            </w14:solidFill>
          </w14:textFill>
        </w:rPr>
        <w:t>》</w:t>
      </w:r>
      <w:bookmarkEnd w:id="9"/>
    </w:p>
    <w:p w14:paraId="610E4EE9">
      <w:pPr>
        <w:ind w:firstLine="480"/>
        <w:rPr>
          <w:rFonts w:hint="eastAsia" w:ascii="仿宋" w:hAnsi="仿宋"/>
        </w:rPr>
      </w:pPr>
      <w:r>
        <w:rPr>
          <w:rFonts w:ascii="仿宋" w:hAnsi="仿宋"/>
        </w:rPr>
        <w:t>为贯彻落实党中央、国务院关于全面加强资源节约工作的决策部署，充分挖掘地下空间资源潜力，增强城市综合承载能力，近日，自然资源部印发《关于探索推进城市地下空间开发利用的指导意见》(以下简称《意见》)。《意见》主要从强化规划统筹引领、健全用地供应政策体系、规范建设项目规划管理、完善产权管理等四个方面，从国家层面提出了缓解城市土地资源供需紧张、拓展城市空间的政策措施。</w:t>
      </w:r>
      <w:r>
        <w:rPr>
          <w:rFonts w:hint="eastAsia" w:ascii="仿宋" w:hAnsi="仿宋"/>
        </w:rPr>
        <w:t>《意见》提出：利用5年左右的时间，推动具备地下空间开发利用自然条件，且开发利用需求较大、管理水平较高的重点城市地下空间规划体系更加完善，开发利用政策体系更加完备，开发利用规模持续扩大，开发利用过程更加安全，国土空间保障能力不断提升，为经济社会高质量发展和高水平安全提供更好的要素保障。</w:t>
      </w:r>
    </w:p>
    <w:p w14:paraId="7CF63A06">
      <w:pPr>
        <w:ind w:firstLine="482"/>
        <w:rPr>
          <w:rFonts w:hint="eastAsia" w:ascii="仿宋" w:hAnsi="仿宋"/>
          <w:b/>
          <w:bCs/>
          <w:color w:val="227ACB"/>
        </w:rPr>
      </w:pPr>
      <w:r>
        <w:rPr>
          <w:rFonts w:hint="eastAsia" w:ascii="仿宋" w:hAnsi="仿宋"/>
          <w:b/>
          <w:bCs/>
          <w:color w:val="227ACB"/>
        </w:rPr>
        <w:t>点评：《意见》实施有助于</w:t>
      </w:r>
      <w:r>
        <w:rPr>
          <w:rFonts w:ascii="仿宋" w:hAnsi="仿宋"/>
          <w:b/>
          <w:bCs/>
          <w:color w:val="227ACB"/>
        </w:rPr>
        <w:t>提高土地资源利用效率</w:t>
      </w:r>
      <w:r>
        <w:rPr>
          <w:rFonts w:hint="eastAsia" w:ascii="仿宋" w:hAnsi="仿宋"/>
          <w:b/>
          <w:bCs/>
          <w:color w:val="227ACB"/>
        </w:rPr>
        <w:t>，</w:t>
      </w:r>
      <w:r>
        <w:rPr>
          <w:rFonts w:ascii="仿宋" w:hAnsi="仿宋"/>
          <w:b/>
          <w:bCs/>
          <w:color w:val="227ACB"/>
        </w:rPr>
        <w:t>优化城市空间布局</w:t>
      </w:r>
      <w:r>
        <w:rPr>
          <w:rFonts w:hint="eastAsia" w:ascii="仿宋" w:hAnsi="仿宋"/>
          <w:b/>
          <w:bCs/>
          <w:color w:val="227ACB"/>
        </w:rPr>
        <w:t>，</w:t>
      </w:r>
      <w:r>
        <w:rPr>
          <w:rFonts w:ascii="仿宋" w:hAnsi="仿宋"/>
          <w:b/>
          <w:bCs/>
          <w:color w:val="227ACB"/>
        </w:rPr>
        <w:t>增强城市承载能力。对房地产市场而言，这将带来新的机遇和挑战。</w:t>
      </w:r>
      <w:r>
        <w:rPr>
          <w:rFonts w:hint="eastAsia" w:ascii="仿宋" w:hAnsi="仿宋"/>
          <w:b/>
          <w:bCs/>
          <w:color w:val="227ACB"/>
        </w:rPr>
        <w:t>机遇方面，差别化的地价政策有望降低地下空间开发的成本，同时为建筑技术和城市规划的创新提供了动力。挑战方面，尽管地下空间的开发与商业、停车等多种业态的结合为城市带来了新的活力，但也面临着如何有效运营这些空间以实现综合效益的问题，这就要求开发商、运营商和城市规划者不仅要关注地下空间的建设，更要关注其长期的运营和管理。</w:t>
      </w:r>
    </w:p>
    <w:bookmarkEnd w:id="10"/>
    <w:p w14:paraId="413580F0">
      <w:pPr>
        <w:pStyle w:val="2"/>
        <w:numPr>
          <w:ilvl w:val="0"/>
          <w:numId w:val="2"/>
        </w:numPr>
        <w:rPr>
          <w:rFonts w:hint="eastAsia" w:ascii="仿宋" w:hAnsi="仿宋" w:cs="Arial"/>
          <w:color w:val="000000" w:themeColor="text1"/>
          <w:szCs w:val="28"/>
          <w:shd w:val="clear" w:color="auto" w:fill="FFFFFF"/>
          <w14:textFill>
            <w14:solidFill>
              <w14:schemeClr w14:val="tx1"/>
            </w14:solidFill>
          </w14:textFill>
        </w:rPr>
      </w:pPr>
      <w:bookmarkStart w:id="11" w:name="_Toc179548821"/>
      <w:r>
        <w:rPr>
          <w:rFonts w:hint="eastAsia" w:ascii="仿宋" w:hAnsi="仿宋" w:cs="Arial"/>
          <w:color w:val="000000" w:themeColor="text1"/>
          <w:szCs w:val="28"/>
          <w:shd w:val="clear" w:color="auto" w:fill="FFFFFF"/>
          <w14:textFill>
            <w14:solidFill>
              <w14:schemeClr w14:val="tx1"/>
            </w14:solidFill>
          </w14:textFill>
        </w:rPr>
        <w:t>《城市轨道交通工程投资估算编制办法》公开征求意见</w:t>
      </w:r>
      <w:bookmarkEnd w:id="11"/>
    </w:p>
    <w:p w14:paraId="6E3A20BD">
      <w:pPr>
        <w:ind w:firstLine="480"/>
        <w:rPr>
          <w:rFonts w:hint="eastAsia" w:ascii="仿宋" w:hAnsi="仿宋"/>
        </w:rPr>
      </w:pPr>
      <w:r>
        <w:rPr>
          <w:rFonts w:hint="eastAsia" w:ascii="仿宋" w:hAnsi="仿宋"/>
        </w:rPr>
        <w:t>为合理确定并有效控制工程造价，提高城市轨道交通工程投资估算的编制质量，近日，住房城乡建设部组织编制了《城市轨道交通工程投资估算编制办法》（以下简称《办法》），现向社会公开征求意见。《办法》适用于新建、改建、扩建的城市轨道交通工程（包括地铁系统、轻轨系统、单轨系统、有轨电车、磁浮系统、自动导向轨道系统、市域快速轨道系统）投资估算文件的编制。《办法》是政府有关部门加强城市轨道交通工程建设宏观调控和进行项目投资控制的重要依据。</w:t>
      </w:r>
    </w:p>
    <w:p w14:paraId="49331280">
      <w:pPr>
        <w:pStyle w:val="2"/>
        <w:numPr>
          <w:ilvl w:val="0"/>
          <w:numId w:val="2"/>
        </w:numPr>
        <w:rPr>
          <w:rFonts w:hint="eastAsia" w:ascii="仿宋" w:hAnsi="仿宋"/>
          <w:shd w:val="clear" w:color="auto" w:fill="FFFFFF"/>
          <w:lang w:bidi="ar"/>
        </w:rPr>
      </w:pPr>
      <w:bookmarkStart w:id="12" w:name="_Toc179548822"/>
      <w:r>
        <w:rPr>
          <w:rFonts w:ascii="仿宋" w:hAnsi="仿宋"/>
          <w:shd w:val="clear" w:color="auto" w:fill="FFFFFF"/>
          <w:lang w:bidi="ar"/>
        </w:rPr>
        <w:t>交通运输部印发城市公共交通优先发展和绿色出行12个典型案例</w:t>
      </w:r>
      <w:bookmarkEnd w:id="12"/>
    </w:p>
    <w:p w14:paraId="528C4290">
      <w:pPr>
        <w:pStyle w:val="48"/>
        <w:ind w:firstLine="480"/>
        <w:rPr>
          <w:rFonts w:ascii="仿宋" w:hAnsi="仿宋"/>
          <w:shd w:val="clear" w:color="auto" w:fill="FFFFFF"/>
          <w:lang w:bidi="ar"/>
        </w:rPr>
      </w:pPr>
      <w:r>
        <w:rPr>
          <w:rFonts w:ascii="仿宋" w:hAnsi="仿宋"/>
          <w:shd w:val="clear" w:color="auto" w:fill="FFFFFF"/>
          <w:lang w:bidi="ar"/>
        </w:rPr>
        <w:t>近年来，各地交通运输主管部门深入贯彻落实党中央、国务院重要决策部署，深入实施城市公共交通优先发展战略，鼓励引导绿色出行，在强化政策支持、优化提升服务、完善设施设备、拓展多元经营、促进衔接融合、保障人员权益等方面，探索形成了一批好经验好做法。9月11日，交通运输部印发《关于印发2024年城市公共交通优先发展和绿色出行典型案例的函》，推出12个城市公共交通优先发展和绿色出行典型案例</w:t>
      </w:r>
      <w:r>
        <w:rPr>
          <w:rFonts w:hint="eastAsia" w:ascii="仿宋" w:hAnsi="仿宋"/>
          <w:shd w:val="clear" w:color="auto" w:fill="FFFFFF"/>
          <w:lang w:bidi="ar"/>
        </w:rPr>
        <w:t>。</w:t>
      </w:r>
    </w:p>
    <w:p w14:paraId="288CE03D">
      <w:pPr>
        <w:pStyle w:val="2"/>
        <w:numPr>
          <w:ilvl w:val="0"/>
          <w:numId w:val="2"/>
        </w:numPr>
        <w:rPr>
          <w:rFonts w:hint="eastAsia" w:ascii="仿宋" w:hAnsi="仿宋" w:cs="Arial"/>
          <w:color w:val="000000" w:themeColor="text1"/>
          <w:szCs w:val="28"/>
          <w:shd w:val="clear" w:color="auto" w:fill="FFFFFF"/>
          <w14:textFill>
            <w14:solidFill>
              <w14:schemeClr w14:val="tx1"/>
            </w14:solidFill>
          </w14:textFill>
        </w:rPr>
      </w:pPr>
      <w:bookmarkStart w:id="13" w:name="_Toc179548823"/>
      <w:r>
        <w:rPr>
          <w:rFonts w:hint="eastAsia" w:ascii="仿宋" w:hAnsi="仿宋"/>
          <w:kern w:val="2"/>
        </w:rPr>
        <w:t>《南宁市综合交通规划（2021-2035）》草案公示</w:t>
      </w:r>
      <w:bookmarkEnd w:id="13"/>
    </w:p>
    <w:p w14:paraId="1A1AF6BA">
      <w:pPr>
        <w:ind w:firstLine="480"/>
        <w:rPr>
          <w:rFonts w:hint="eastAsia" w:ascii="仿宋" w:hAnsi="仿宋"/>
        </w:rPr>
      </w:pPr>
      <w:r>
        <w:rPr>
          <w:rFonts w:hint="eastAsia" w:ascii="仿宋" w:hAnsi="仿宋"/>
        </w:rPr>
        <w:t>9月12日，南宁市自然资源局对《南宁市综合交通规划（2021-2035）》草案（以下简称《规划》）进行公示。《规划》提出，将推进轨道交通S1机场线一期（吴圩机场—那丹）、6号线一期（三津大道—天池山），1号线北延线（火车东站—金桥客运站）等线路建设。《规划》提出，将推动“多网融合”建设，打造轨道上的都市圈。耦合“多中心”功能节点布局，加快“多元方式”一体化和“交通土地”一体化建设，支撑大都市圈战略。通过构建多层级枢纽体系，促进交通运输降本增效。以铁路客运站为核心打造“4个一级、2个二级和7个三级的综合客运枢纽体系”。此外，将加强交通与用地协调，引领城市空间集约拓展。围绕高铁枢纽推进“站城融合”建设，促进土地集约化利用；围绕轨道站点实施分类差异化的综合开发，打造轨道友好型的城市形态和空间结构。</w:t>
      </w:r>
    </w:p>
    <w:p w14:paraId="733C33A5">
      <w:pPr>
        <w:pStyle w:val="2"/>
        <w:numPr>
          <w:ilvl w:val="0"/>
          <w:numId w:val="2"/>
        </w:numPr>
        <w:rPr>
          <w:rFonts w:hint="eastAsia" w:ascii="仿宋" w:hAnsi="仿宋"/>
          <w:kern w:val="2"/>
        </w:rPr>
      </w:pPr>
      <w:bookmarkStart w:id="14" w:name="_Toc179548824"/>
      <w:r>
        <w:rPr>
          <w:rFonts w:hint="eastAsia" w:ascii="仿宋" w:hAnsi="仿宋"/>
          <w:kern w:val="2"/>
        </w:rPr>
        <w:t>《郑州都市圈发展规划》获国家发展改革委复函并正式印发</w:t>
      </w:r>
      <w:bookmarkEnd w:id="14"/>
    </w:p>
    <w:p w14:paraId="2F93D9C6">
      <w:pPr>
        <w:ind w:firstLine="480"/>
        <w:rPr>
          <w:rFonts w:hint="eastAsia" w:ascii="仿宋" w:hAnsi="仿宋"/>
        </w:rPr>
      </w:pPr>
      <w:r>
        <w:rPr>
          <w:rFonts w:hint="eastAsia" w:ascii="仿宋" w:hAnsi="仿宋"/>
        </w:rPr>
        <w:t>9月20日,</w:t>
      </w:r>
      <w:r>
        <w:rPr>
          <w:rFonts w:hint="eastAsia" w:ascii="微软雅黑" w:hAnsi="微软雅黑" w:eastAsia="微软雅黑"/>
          <w:color w:val="4D4F53"/>
          <w:sz w:val="27"/>
          <w:szCs w:val="27"/>
        </w:rPr>
        <w:t xml:space="preserve"> </w:t>
      </w:r>
      <w:r>
        <w:rPr>
          <w:rFonts w:hint="eastAsia" w:ascii="仿宋" w:hAnsi="仿宋"/>
        </w:rPr>
        <w:t>从河南省人民政府新闻办公室新闻发布会上获悉，《郑州都市圈发展规划》获国家发展改革委复函并正式印发，都市圈一体化高质量发展加快推进。该规划将建设高效都市圈枢纽体系。一是以“空中丝绸之路”建设为引领，推动“四条丝路”融合并进，进一步提升航空港区开放能级，高标准建设中欧班列郑州集结中心和国际陆港新节点，积极引进跨境电商头部企业区域总部及集货中心、结算中心，推动跨境电商零售进口试点城市创新发展。提升铁海联运水平。高标准推进RCEP示范区建设。二是以郑州为中心建设高效都市圈枢纽体系，加快S2线、郑州南站建设，持续加密跨黄通道，积极推进平安大道等跨市域道路项目和郑州至洛阳等高速项目。三是大力发展国际航空等功能性服务业，加快建设国际会展名城。实施“期货+”战略，努力把郑州商品交易所打造成有全球影响力的期货定价中心、期货价格避险中心和期货机构集聚中心。</w:t>
      </w:r>
    </w:p>
    <w:p w14:paraId="74FB6257">
      <w:pPr>
        <w:pStyle w:val="2"/>
        <w:numPr>
          <w:ilvl w:val="0"/>
          <w:numId w:val="2"/>
        </w:numPr>
        <w:rPr>
          <w:rFonts w:hint="eastAsia" w:ascii="仿宋" w:hAnsi="仿宋"/>
          <w:kern w:val="2"/>
        </w:rPr>
      </w:pPr>
      <w:bookmarkStart w:id="15" w:name="_Toc179548825"/>
      <w:r>
        <w:rPr>
          <w:rFonts w:hint="eastAsia" w:ascii="仿宋" w:hAnsi="仿宋"/>
          <w:kern w:val="2"/>
        </w:rPr>
        <w:t>《天津市国土空间总体规划（2021—2035年）》印发</w:t>
      </w:r>
      <w:bookmarkEnd w:id="15"/>
    </w:p>
    <w:p w14:paraId="45B72F98">
      <w:pPr>
        <w:pStyle w:val="48"/>
        <w:ind w:firstLine="480"/>
        <w:rPr>
          <w:rFonts w:ascii="仿宋" w:hAnsi="仿宋"/>
        </w:rPr>
      </w:pPr>
      <w:r>
        <w:rPr>
          <w:rFonts w:hint="eastAsia" w:ascii="仿宋" w:hAnsi="仿宋"/>
        </w:rPr>
        <w:t>9月27日，天津市人民政府印发《天津市国土空间总体规划（2021—2035年）》（以下简称《规划》）。《规划》根据人口分布趋势，合理调整居住用地空间布局与土地供应。以职住平衡为导向，形成与人口、产业相匹配的居住用地布局。以塑造宜人的居住生活环境为中心，引导新建住宅区沿轨道交通站点和公园周边布局，不断实现人民对美好生活的向往。根据不同区域特点和人口规模控制要求、园区平台发展需求、轨道交通便利程度对保障性住房进行合理布局，引导产城人融合、人地房联动，实现职住平衡，促进供需适配。《规划》强化建设用地产出效益考核推动土地混合开发利用、用途合理转换和空间复合利用，重点推进轨道交通场站周边地区的综合开发利用，支持商业、办公、居住、公共设施与市政基础设施等功能空间的复合开发。《规划》在完善城市枢纽体系方面，构建客运枢纽体系，在节约集约用地原则下，做好枢纽空间控制，引导枢纽地区功能集聚和复合开发，整体提升交通枢纽对城市的服务功能，成为城市重要功能的承载区。</w:t>
      </w:r>
    </w:p>
    <w:p w14:paraId="5A699A9E">
      <w:pPr>
        <w:pStyle w:val="2"/>
        <w:numPr>
          <w:ilvl w:val="0"/>
          <w:numId w:val="2"/>
        </w:numPr>
        <w:rPr>
          <w:rFonts w:ascii="仿宋" w:hAnsi="仿宋"/>
          <w:kern w:val="2"/>
        </w:rPr>
      </w:pPr>
      <w:bookmarkStart w:id="16" w:name="_Toc179548826"/>
      <w:r>
        <w:rPr>
          <w:rFonts w:hint="eastAsia" w:ascii="仿宋" w:hAnsi="仿宋"/>
          <w:kern w:val="2"/>
        </w:rPr>
        <w:t>国务院批复同意广州、南京、深圳和成都等四城国土空间总体规划</w:t>
      </w:r>
      <w:bookmarkEnd w:id="16"/>
    </w:p>
    <w:p w14:paraId="205D92A4">
      <w:pPr>
        <w:ind w:firstLine="480"/>
        <w:rPr>
          <w:rFonts w:ascii="仿宋" w:hAnsi="仿宋"/>
        </w:rPr>
      </w:pPr>
      <w:r>
        <w:rPr>
          <w:rFonts w:hint="eastAsia" w:ascii="仿宋" w:hAnsi="仿宋"/>
        </w:rPr>
        <w:t>9月，国务院批复同意南京、广州、深圳和成都等四城国土空间总体规划，具体内容如下：</w:t>
      </w:r>
    </w:p>
    <w:p w14:paraId="40CF5EFE">
      <w:pPr>
        <w:ind w:firstLine="480"/>
        <w:rPr>
          <w:rFonts w:ascii="仿宋" w:hAnsi="仿宋"/>
        </w:rPr>
      </w:pPr>
      <w:r>
        <w:rPr>
          <w:rFonts w:hint="eastAsia" w:ascii="仿宋" w:hAnsi="仿宋"/>
        </w:rPr>
        <w:t>9月15日，国务院发布关于《广州市国土空间总体规划（2021—2035年）》的批复，明确了广州是广东省省会，我国重要的中心城市，国家历史文化名城，彰显海洋特色的现代化城市，国际性综合交通枢纽城市，科技教育文化中心。城镇开发边界面积控制在2135.00平方千米以内。主动服务共建“一带一路”，建设南沙新区粤港澳重大合作平台，深化与香港、澳门协同发展，加强与深圳“双城”联动，共建广深港澳科技创新走廊，深化与佛山、清远一体化发展，加强广州都市圈国土空间开发保护利用的区域协同。</w:t>
      </w:r>
    </w:p>
    <w:p w14:paraId="6E7BFFB3">
      <w:pPr>
        <w:ind w:firstLine="480"/>
        <w:rPr>
          <w:rFonts w:ascii="仿宋" w:hAnsi="仿宋"/>
        </w:rPr>
      </w:pPr>
      <w:r>
        <w:rPr>
          <w:rFonts w:hint="eastAsia" w:ascii="仿宋" w:hAnsi="仿宋"/>
        </w:rPr>
        <w:t>9月18日，国务院发布关于《南京市国土空间总体规划（2021—2035年）》的批复，明确了南京是江苏省省会，东部地区重要的中心城市，国家历史文化名城，国际性综合交通枢纽城市。城镇开发边界面积控制在1492.53平方千米以内。服务构建承东启西的双向开放枢纽，深化与上海、杭州、合肥等城市的协同联动发展，加强南京都市圈国土空间开发保护利用的省际协同。</w:t>
      </w:r>
    </w:p>
    <w:p w14:paraId="260D7688">
      <w:pPr>
        <w:ind w:firstLine="480"/>
        <w:rPr>
          <w:rFonts w:hint="eastAsia" w:ascii="仿宋" w:hAnsi="仿宋"/>
        </w:rPr>
      </w:pPr>
      <w:r>
        <w:rPr>
          <w:rFonts w:hint="eastAsia" w:ascii="仿宋" w:hAnsi="仿宋"/>
        </w:rPr>
        <w:t>9月29日，国务院发布关于《深圳市国土空间总体规划（2021—2035年）》的批复，明确了深圳是经济特区，国家创新型城市，现代海洋城市，国际性综合交通枢纽城市。城镇开发边界面积控制在1130.74平方千米以内。主动服务共建“一带一路”，发挥粤港澳大湾区核心引擎优势，强化前海深港现代服务业合作区、河套深港科技创新合作区深圳园区建设，与香港、澳门深度合作、协同发展。强化与广州“双城”联动，高标准建设深汕特别合作区，促进与珠江口西岸城市融合互动，加强深圳都市圈国土空间开发保护利用的区域协同。</w:t>
      </w:r>
    </w:p>
    <w:p w14:paraId="6D8906A9">
      <w:pPr>
        <w:ind w:firstLine="480"/>
        <w:rPr>
          <w:rFonts w:hint="eastAsia" w:ascii="仿宋" w:hAnsi="仿宋"/>
        </w:rPr>
      </w:pPr>
      <w:r>
        <w:rPr>
          <w:rFonts w:hint="eastAsia" w:ascii="仿宋" w:hAnsi="仿宋"/>
        </w:rPr>
        <w:t>9月30日，国务院发布关于《成都市国土空间总体规划（2021—2035年）》的批复，明确了成都是四川省省会，西部地区重要的中心城市，国家历史文化名城，国际性综合交通枢纽城市。城镇开发边界面积控制在2361.20平方千米以内。推进成渝地区双城经济圈建设，加强成都都市圈国土空间开发保护利用的区域协同，共建西部陆海新通道，加强对青海、西藏等地区的战略保障。努力在推进新时代西部大开发中发挥支撑作用，在推进共建“一带一路”中发挥带动作用，在推进长江经济带绿色发展中发挥示范作用。</w:t>
      </w:r>
    </w:p>
    <w:p w14:paraId="337CEBAA">
      <w:pPr>
        <w:pStyle w:val="48"/>
        <w:ind w:firstLine="480"/>
        <w:rPr>
          <w:rFonts w:hint="eastAsia" w:ascii="仿宋" w:hAnsi="仿宋"/>
        </w:rPr>
      </w:pPr>
    </w:p>
    <w:p w14:paraId="4E67CF95">
      <w:pPr>
        <w:ind w:firstLine="480"/>
        <w:rPr>
          <w:rFonts w:hint="eastAsia" w:ascii="仿宋" w:hAnsi="仿宋"/>
        </w:rPr>
        <w:sectPr>
          <w:headerReference r:id="rId12" w:type="default"/>
          <w:pgSz w:w="11906" w:h="16838"/>
          <w:pgMar w:top="1440" w:right="1800" w:bottom="1440" w:left="1800" w:header="1474" w:footer="964" w:gutter="0"/>
          <w:cols w:space="425" w:num="1"/>
          <w:docGrid w:type="lines" w:linePitch="326" w:charSpace="0"/>
        </w:sectPr>
      </w:pPr>
    </w:p>
    <w:p w14:paraId="4BA5F5A2">
      <w:pPr>
        <w:pStyle w:val="2"/>
        <w:keepLines/>
        <w:widowControl w:val="0"/>
        <w:spacing w:before="163" w:after="163"/>
        <w:ind w:firstLine="562"/>
        <w:jc w:val="center"/>
        <w:rPr>
          <w:rFonts w:hint="eastAsia" w:ascii="黑体" w:hAnsi="黑体" w:eastAsia="黑体" w:cs="Times New Roman"/>
          <w:color w:val="5B9BD5" w:themeColor="accent5"/>
          <w:kern w:val="44"/>
          <w:sz w:val="28"/>
          <w14:textFill>
            <w14:solidFill>
              <w14:schemeClr w14:val="accent5"/>
            </w14:solidFill>
          </w14:textFill>
        </w:rPr>
      </w:pPr>
      <w:bookmarkStart w:id="17" w:name="_Toc179548827"/>
      <w:r>
        <w:rPr>
          <w:rFonts w:hint="eastAsia" w:ascii="黑体" w:hAnsi="黑体" w:eastAsia="黑体" w:cs="Times New Roman"/>
          <w:color w:val="5B9BD5" w:themeColor="accent5"/>
          <w:kern w:val="44"/>
          <w:sz w:val="28"/>
          <w14:textFill>
            <w14:solidFill>
              <w14:schemeClr w14:val="accent5"/>
            </w14:solidFill>
          </w14:textFill>
        </w:rPr>
        <w:t>二</w:t>
      </w:r>
      <w:r>
        <w:rPr>
          <w:rFonts w:ascii="黑体" w:hAnsi="黑体" w:eastAsia="黑体" w:cs="Times New Roman"/>
          <w:color w:val="5B9BD5" w:themeColor="accent5"/>
          <w:kern w:val="44"/>
          <w:sz w:val="28"/>
          <w14:textFill>
            <w14:solidFill>
              <w14:schemeClr w14:val="accent5"/>
            </w14:solidFill>
          </w14:textFill>
        </w:rPr>
        <w:t>、行业动态</w:t>
      </w:r>
      <w:bookmarkEnd w:id="17"/>
    </w:p>
    <w:p w14:paraId="6F1002DC">
      <w:pPr>
        <w:pStyle w:val="2"/>
        <w:numPr>
          <w:ilvl w:val="0"/>
          <w:numId w:val="3"/>
        </w:numPr>
        <w:rPr>
          <w:rFonts w:hint="eastAsia" w:ascii="仿宋" w:hAnsi="仿宋"/>
          <w:shd w:val="clear" w:color="auto" w:fill="FFFFFF"/>
          <w:lang w:bidi="ar"/>
        </w:rPr>
      </w:pPr>
      <w:bookmarkStart w:id="18" w:name="_Toc179548828"/>
      <w:r>
        <w:rPr>
          <w:rFonts w:hint="eastAsia" w:ascii="仿宋" w:hAnsi="仿宋"/>
          <w:shd w:val="clear" w:color="auto" w:fill="FFFFFF"/>
          <w:lang w:bidi="ar"/>
        </w:rPr>
        <w:t>北京市丰台区郭公庄车辆段一期公共租赁房项目设计方案变更</w:t>
      </w:r>
      <w:bookmarkEnd w:id="18"/>
    </w:p>
    <w:p w14:paraId="544A94AD">
      <w:pPr>
        <w:pStyle w:val="48"/>
        <w:ind w:firstLine="480"/>
        <w:rPr>
          <w:rFonts w:ascii="仿宋" w:hAnsi="仿宋"/>
          <w:b/>
          <w:bCs/>
          <w:shd w:val="clear" w:color="auto" w:fill="FFFFFF"/>
          <w:lang w:bidi="ar"/>
        </w:rPr>
      </w:pPr>
      <w:r>
        <w:rPr>
          <w:rFonts w:hint="eastAsia" w:ascii="仿宋" w:hAnsi="仿宋"/>
          <w:shd w:val="clear" w:color="auto" w:fill="FFFFFF"/>
          <w:lang w:bidi="ar"/>
        </w:rPr>
        <w:t>9月30日，北京规自委网站上发布了关于丰台区郭公庄车辆段一期公共租赁房项目设计方案变更的说明。丰台区郭公庄车辆段一期公共租赁房项目位于丰台区花乡街道，用地性质为R2二类居住用地，建设单位为北京市保障性住房建设投资中心。目前北区（1#住宅楼-12#住宅楼，G1公建-G4公建）已实施并通过验收。地块南侧未建设，现地块南侧拟实施建设，建设单位在原方案基础上对南区未实施部分进行了调整，较原方案增加了居住户数及人数，并进一步优化南区住宅及配套公服设施用地布局及建设规模。根据现阶段调整后方案总平面图，项目建设用地面积58786.029平方米，总建筑面积205092.69平方米，其中地上建筑面积146964.50平方米，地下建筑面积58128.19平方米，容积率2.5。</w:t>
      </w:r>
    </w:p>
    <w:p w14:paraId="7BF729DD">
      <w:pPr>
        <w:pStyle w:val="2"/>
        <w:numPr>
          <w:ilvl w:val="0"/>
          <w:numId w:val="3"/>
        </w:numPr>
        <w:rPr>
          <w:rFonts w:hint="eastAsia" w:ascii="仿宋" w:hAnsi="仿宋"/>
          <w:shd w:val="clear" w:color="auto" w:fill="FFFFFF"/>
          <w:lang w:bidi="ar"/>
        </w:rPr>
      </w:pPr>
      <w:bookmarkStart w:id="19" w:name="_Toc179548829"/>
      <w:r>
        <w:rPr>
          <w:rFonts w:hint="eastAsia" w:ascii="仿宋" w:hAnsi="仿宋"/>
          <w:shd w:val="clear" w:color="auto" w:fill="FFFFFF"/>
          <w:lang w:bidi="ar"/>
        </w:rPr>
        <w:t>深港商办投资节正式启动，推售地铁沿线非住宅优质新盘</w:t>
      </w:r>
      <w:bookmarkEnd w:id="19"/>
    </w:p>
    <w:p w14:paraId="371ED5F3">
      <w:pPr>
        <w:pStyle w:val="48"/>
        <w:ind w:firstLine="480"/>
        <w:rPr>
          <w:rFonts w:ascii="仿宋" w:hAnsi="仿宋"/>
          <w:b/>
          <w:bCs/>
          <w:shd w:val="clear" w:color="auto" w:fill="FFFFFF"/>
          <w:lang w:bidi="ar"/>
        </w:rPr>
      </w:pPr>
      <w:r>
        <w:rPr>
          <w:rFonts w:ascii="仿宋" w:hAnsi="仿宋"/>
          <w:shd w:val="clear" w:color="auto" w:fill="FFFFFF"/>
          <w:lang w:bidi="ar"/>
        </w:rPr>
        <w:t>9月4日</w:t>
      </w:r>
      <w:r>
        <w:rPr>
          <w:rFonts w:hint="eastAsia" w:ascii="仿宋" w:hAnsi="仿宋"/>
          <w:shd w:val="clear" w:color="auto" w:fill="FFFFFF"/>
          <w:lang w:bidi="ar"/>
        </w:rPr>
        <w:t>，中原(工商铺)伙拍深圳中原举办首届深港商办投资节活动，首阶段将于9月份于中国香港率先开展，活动吸引到八家香港及内地发展商全力参与，包括新世界发展、麒丰资本、凯龙瑞集团中国香港及乐风集团，华润置地、大中华控股、中粮集团及中集产城。在为期两个月的投资节活动中，中原会全力推介八家发展商旗下的指定楼盘，包括九龙西永康街83号、观塘鸿图道55号泓傲、荔枝角青山道550号茏荟及大角咀Two Bedford Place，而四个参与的深圳项目分别为华润前海大厦、大中华环球金融中心、深圳大悦城综合体及太子湾</w:t>
      </w:r>
      <w:r>
        <w:rPr>
          <w:rFonts w:hint="eastAsia" w:ascii="微软雅黑" w:hAnsi="微软雅黑" w:eastAsia="微软雅黑" w:cs="微软雅黑"/>
          <w:shd w:val="clear" w:color="auto" w:fill="FFFFFF"/>
          <w:lang w:bidi="ar"/>
        </w:rPr>
        <w:t>•</w:t>
      </w:r>
      <w:r>
        <w:rPr>
          <w:rFonts w:hint="eastAsia" w:ascii="仿宋" w:hAnsi="仿宋" w:cs="仿宋"/>
          <w:shd w:val="clear" w:color="auto" w:fill="FFFFFF"/>
          <w:lang w:bidi="ar"/>
        </w:rPr>
        <w:t>中集大城艺术中心。</w:t>
      </w:r>
      <w:r>
        <w:rPr>
          <w:rFonts w:hint="eastAsia" w:ascii="仿宋" w:hAnsi="仿宋"/>
          <w:shd w:val="clear" w:color="auto" w:fill="FFFFFF"/>
          <w:lang w:bidi="ar"/>
        </w:rPr>
        <w:t>首届投资节以地铁沿线为主轴，带领两地客户沿着地铁路线物色深港发展商的一手优质新盘。</w:t>
      </w:r>
    </w:p>
    <w:p w14:paraId="3B4ED3A0">
      <w:pPr>
        <w:pStyle w:val="2"/>
        <w:numPr>
          <w:ilvl w:val="0"/>
          <w:numId w:val="3"/>
        </w:numPr>
        <w:rPr>
          <w:rFonts w:hint="eastAsia" w:ascii="仿宋" w:hAnsi="仿宋"/>
          <w:shd w:val="clear" w:color="auto" w:fill="FFFFFF"/>
          <w:lang w:bidi="ar"/>
        </w:rPr>
      </w:pPr>
      <w:bookmarkStart w:id="20" w:name="_Toc179548830"/>
      <w:r>
        <w:rPr>
          <w:rFonts w:ascii="仿宋" w:hAnsi="仿宋"/>
          <w:shd w:val="clear" w:color="auto" w:fill="FFFFFF"/>
          <w:lang w:bidi="ar"/>
        </w:rPr>
        <w:t>中山市轨道事务中心正式成立</w:t>
      </w:r>
      <w:bookmarkEnd w:id="20"/>
    </w:p>
    <w:p w14:paraId="5A1975A5">
      <w:pPr>
        <w:pStyle w:val="48"/>
        <w:ind w:firstLine="480"/>
        <w:rPr>
          <w:rFonts w:ascii="仿宋" w:hAnsi="仿宋"/>
          <w:shd w:val="clear" w:color="auto" w:fill="FFFFFF"/>
          <w:lang w:bidi="ar"/>
        </w:rPr>
      </w:pPr>
      <w:r>
        <w:rPr>
          <w:rFonts w:ascii="仿宋" w:hAnsi="仿宋"/>
          <w:shd w:val="clear" w:color="auto" w:fill="FFFFFF"/>
          <w:lang w:bidi="ar"/>
        </w:rPr>
        <w:t>9月5日</w:t>
      </w:r>
      <w:r>
        <w:rPr>
          <w:rFonts w:hint="eastAsia" w:ascii="仿宋" w:hAnsi="仿宋"/>
          <w:shd w:val="clear" w:color="auto" w:fill="FFFFFF"/>
          <w:lang w:bidi="ar"/>
        </w:rPr>
        <w:t>，</w:t>
      </w:r>
      <w:r>
        <w:rPr>
          <w:rFonts w:ascii="仿宋" w:hAnsi="仿宋"/>
          <w:shd w:val="clear" w:color="auto" w:fill="FFFFFF"/>
          <w:lang w:bidi="ar"/>
        </w:rPr>
        <w:t>中山市轨道事务中心揭牌仪式举行</w:t>
      </w:r>
      <w:r>
        <w:rPr>
          <w:rFonts w:hint="eastAsia" w:ascii="仿宋" w:hAnsi="仿宋"/>
          <w:shd w:val="clear" w:color="auto" w:fill="FFFFFF"/>
          <w:lang w:bidi="ar"/>
        </w:rPr>
        <w:t>，</w:t>
      </w:r>
      <w:r>
        <w:rPr>
          <w:rFonts w:ascii="仿宋" w:hAnsi="仿宋"/>
          <w:shd w:val="clear" w:color="auto" w:fill="FFFFFF"/>
          <w:lang w:bidi="ar"/>
        </w:rPr>
        <w:t>宣布该中心正式成立</w:t>
      </w:r>
      <w:r>
        <w:rPr>
          <w:rFonts w:hint="eastAsia" w:ascii="仿宋" w:hAnsi="仿宋"/>
          <w:shd w:val="clear" w:color="auto" w:fill="FFFFFF"/>
          <w:lang w:bidi="ar"/>
        </w:rPr>
        <w:t>。</w:t>
      </w:r>
      <w:r>
        <w:rPr>
          <w:rFonts w:ascii="仿宋" w:hAnsi="仿宋"/>
          <w:shd w:val="clear" w:color="auto" w:fill="FFFFFF"/>
          <w:lang w:bidi="ar"/>
        </w:rPr>
        <w:t>中山市轨道事务中心的主要职责是承担全市轨道交通前期、建设、运营、工程质量和安全等事务性工作，贯穿轨道项目从谋划到运营全过程。中山市轨道事务中心的成立，标志着中山市轨道交通工作翻开新篇章、踏上新征程。目前，中山市正提速建设深江铁路和南中城际、超前谋划深南中城际和中山市域铁路S1线、稳步推进广中珠澳高铁和中珠城际前期研究工作，全市在建和谋划的铁路里程超170公里，正加快打造横贯东西、纵贯南北、内外畅通的轨道交通运输体系，构建“四纵三横”轨道交通网，全面加快融入“轨道上的大湾区”。</w:t>
      </w:r>
    </w:p>
    <w:p w14:paraId="4798EC70">
      <w:pPr>
        <w:pStyle w:val="2"/>
        <w:numPr>
          <w:ilvl w:val="0"/>
          <w:numId w:val="3"/>
        </w:numPr>
        <w:rPr>
          <w:rFonts w:hint="eastAsia" w:ascii="仿宋" w:hAnsi="仿宋" w:cs="Arial"/>
          <w:color w:val="000000" w:themeColor="text1"/>
          <w:szCs w:val="28"/>
          <w:shd w:val="clear" w:color="auto" w:fill="FFFFFF"/>
          <w14:textFill>
            <w14:solidFill>
              <w14:schemeClr w14:val="tx1"/>
            </w14:solidFill>
          </w14:textFill>
        </w:rPr>
      </w:pPr>
      <w:bookmarkStart w:id="21" w:name="_Toc179548831"/>
      <w:r>
        <w:rPr>
          <w:rFonts w:hint="eastAsia" w:ascii="仿宋" w:hAnsi="仿宋" w:cs="Arial"/>
          <w:color w:val="000000" w:themeColor="text1"/>
          <w:szCs w:val="28"/>
          <w:shd w:val="clear" w:color="auto" w:fill="FFFFFF"/>
          <w14:textFill>
            <w14:solidFill>
              <w14:schemeClr w14:val="tx1"/>
            </w14:solidFill>
          </w14:textFill>
        </w:rPr>
        <w:t>8月轨道交通客运量同比增加近亿人次</w:t>
      </w:r>
      <w:bookmarkEnd w:id="21"/>
    </w:p>
    <w:p w14:paraId="7A70772D">
      <w:pPr>
        <w:pStyle w:val="48"/>
        <w:ind w:firstLine="480"/>
        <w:rPr>
          <w:rFonts w:hint="eastAsia" w:ascii="仿宋" w:hAnsi="仿宋"/>
        </w:rPr>
      </w:pPr>
      <w:r>
        <w:rPr>
          <w:rFonts w:hint="eastAsia" w:ascii="仿宋" w:hAnsi="仿宋"/>
        </w:rPr>
        <w:t>交通运输部9月9日消息，8月，31个省（区、市）和新疆生产建设兵团共有54个城市开通运营城市轨道交通线路311条，运营里程10363.5公里，实际开行列车349万列次，完成客运量28.1亿人次，进站量16.8亿人次。8月，客运量环比减少0.65亿人次，降低2.3％，同比增加0.96亿人次，增长3.5％。8月全国轨道交通总运营里程的平均客运强度为0.894万人次每公里日，环比降低2.5％，同比降低2.2％。8月新增运营里程24公里，新增运营区段1个，为佛山地铁3号线在建段。</w:t>
      </w:r>
    </w:p>
    <w:p w14:paraId="33C5A151">
      <w:pPr>
        <w:pStyle w:val="2"/>
        <w:numPr>
          <w:ilvl w:val="0"/>
          <w:numId w:val="3"/>
        </w:numPr>
        <w:rPr>
          <w:rFonts w:hint="eastAsia" w:ascii="仿宋" w:hAnsi="仿宋"/>
          <w:shd w:val="clear" w:color="auto" w:fill="FFFFFF"/>
          <w:lang w:bidi="ar"/>
        </w:rPr>
      </w:pPr>
      <w:bookmarkStart w:id="22" w:name="_Toc179548832"/>
      <w:r>
        <w:rPr>
          <w:rFonts w:hint="eastAsia" w:ascii="仿宋" w:hAnsi="仿宋"/>
          <w:shd w:val="clear" w:color="auto" w:fill="FFFFFF"/>
          <w:lang w:bidi="ar"/>
        </w:rPr>
        <w:t>天津市“轨交导向城市建造(塑形)之路”线下论坛成功举办</w:t>
      </w:r>
      <w:bookmarkEnd w:id="22"/>
    </w:p>
    <w:p w14:paraId="54208720">
      <w:pPr>
        <w:pStyle w:val="48"/>
        <w:ind w:firstLine="480"/>
        <w:rPr>
          <w:rFonts w:hint="eastAsia" w:ascii="仿宋" w:hAnsi="仿宋"/>
          <w:shd w:val="clear" w:color="auto" w:fill="FFFFFF"/>
          <w:lang w:bidi="ar"/>
        </w:rPr>
      </w:pPr>
      <w:r>
        <w:rPr>
          <w:rFonts w:hint="eastAsia" w:ascii="仿宋" w:hAnsi="仿宋"/>
          <w:shd w:val="clear" w:color="auto" w:fill="FFFFFF"/>
          <w:lang w:bidi="ar"/>
        </w:rPr>
        <w:t>近日，由天津市轨道交通集团主办、市规划资源局协办的“轨交导向城市建造(塑形)之路”线下论坛成功举办。本次论坛邀请了市政府参事霍兵以及来自香港、北京、成都等地的麦为明、邱诚翔、朱晓兵等专家学者进行了主旨报告与交流讨论。与会专家学者针对轨道交通“多网融合”、轨道交通建设投融资模式、市域铁路的功能定位与节点策略、车辆段项目TOD开发思路、政策保障机制等热点问题展开了互动研讨。本次论坛上的精彩演讲和深入交流，让与会人员对TOD综合开发的发展历程、在城市建设中的重要作用以及未来的发展方向等有了新的认识，同时为天津市TOD综合开发提供了经验与借鉴。</w:t>
      </w:r>
    </w:p>
    <w:p w14:paraId="7EECC61D">
      <w:pPr>
        <w:pStyle w:val="2"/>
        <w:numPr>
          <w:ilvl w:val="0"/>
          <w:numId w:val="3"/>
        </w:numPr>
        <w:rPr>
          <w:rFonts w:hint="eastAsia" w:ascii="仿宋" w:hAnsi="仿宋"/>
          <w:shd w:val="clear" w:color="auto" w:fill="FFFFFF"/>
          <w:lang w:bidi="ar"/>
        </w:rPr>
      </w:pPr>
      <w:bookmarkStart w:id="23" w:name="_Toc179548833"/>
      <w:bookmarkStart w:id="24" w:name="_Hlk179545368"/>
      <w:r>
        <w:rPr>
          <w:rFonts w:hint="eastAsia" w:ascii="仿宋" w:hAnsi="仿宋"/>
          <w:shd w:val="clear" w:color="auto" w:fill="FFFFFF"/>
          <w:lang w:bidi="ar"/>
        </w:rPr>
        <w:t>《福建省“十五五”综合交通运输发展专项规划》研究大纲审查会召开</w:t>
      </w:r>
      <w:bookmarkEnd w:id="23"/>
    </w:p>
    <w:bookmarkEnd w:id="24"/>
    <w:p w14:paraId="3769A332">
      <w:pPr>
        <w:pStyle w:val="48"/>
        <w:ind w:firstLine="480"/>
        <w:rPr>
          <w:rFonts w:hint="eastAsia" w:ascii="仿宋" w:hAnsi="仿宋"/>
          <w:shd w:val="clear" w:color="auto" w:fill="FFFFFF"/>
          <w:lang w:bidi="ar"/>
        </w:rPr>
      </w:pPr>
      <w:r>
        <w:rPr>
          <w:rFonts w:ascii="仿宋" w:hAnsi="仿宋"/>
          <w:shd w:val="clear" w:color="auto" w:fill="FFFFFF"/>
          <w:lang w:bidi="ar"/>
        </w:rPr>
        <w:t>9月9日，《福建省“十五五”综合交通运输发展专项规划》（以下简称《规划》）研究大纲审查会在福州召开。会议邀请多位省内外知名专家到场指导。厅党组成员、副厅长王增贤出席会议，省发改委、省邮政管理局等单位参会。会议认真听取《规划》研究阶段成果汇报，与会专家和有关单位（部门）提出意见建议，一致认为《规划》的编制对推动我省加快建设两岸融合发展示范区和交通强国福建先行区，当好中国式现代化福建实践的开路先锋具有重要意义。会议强调，各级各部门要高度重视，提高政治站位，按照省委省政府和交通运输部有关工作部署，认真谋划好“十五五”规划发展工作</w:t>
      </w:r>
      <w:r>
        <w:rPr>
          <w:rFonts w:hint="eastAsia" w:ascii="仿宋" w:hAnsi="仿宋"/>
          <w:shd w:val="clear" w:color="auto" w:fill="FFFFFF"/>
          <w:lang w:bidi="ar"/>
        </w:rPr>
        <w:t>，</w:t>
      </w:r>
      <w:r>
        <w:rPr>
          <w:rFonts w:ascii="仿宋" w:hAnsi="仿宋"/>
          <w:shd w:val="clear" w:color="auto" w:fill="FFFFFF"/>
          <w:lang w:bidi="ar"/>
        </w:rPr>
        <w:t>主动对接国家规划</w:t>
      </w:r>
      <w:r>
        <w:rPr>
          <w:rFonts w:hint="eastAsia" w:ascii="仿宋" w:hAnsi="仿宋"/>
          <w:shd w:val="clear" w:color="auto" w:fill="FFFFFF"/>
          <w:lang w:bidi="ar"/>
        </w:rPr>
        <w:t>，</w:t>
      </w:r>
      <w:r>
        <w:rPr>
          <w:rFonts w:ascii="仿宋" w:hAnsi="仿宋"/>
          <w:shd w:val="clear" w:color="auto" w:fill="FFFFFF"/>
          <w:lang w:bidi="ar"/>
        </w:rPr>
        <w:t>落实国家重大战略</w:t>
      </w:r>
      <w:r>
        <w:rPr>
          <w:rFonts w:hint="eastAsia" w:ascii="仿宋" w:hAnsi="仿宋"/>
          <w:shd w:val="clear" w:color="auto" w:fill="FFFFFF"/>
          <w:lang w:bidi="ar"/>
        </w:rPr>
        <w:t>，</w:t>
      </w:r>
      <w:r>
        <w:rPr>
          <w:rFonts w:ascii="仿宋" w:hAnsi="仿宋"/>
          <w:shd w:val="clear" w:color="auto" w:fill="FFFFFF"/>
          <w:lang w:bidi="ar"/>
        </w:rPr>
        <w:t>广泛汇聚众智众力</w:t>
      </w:r>
      <w:r>
        <w:rPr>
          <w:rFonts w:hint="eastAsia" w:ascii="仿宋" w:hAnsi="仿宋"/>
          <w:shd w:val="clear" w:color="auto" w:fill="FFFFFF"/>
          <w:lang w:bidi="ar"/>
        </w:rPr>
        <w:t>，</w:t>
      </w:r>
      <w:r>
        <w:rPr>
          <w:rFonts w:ascii="仿宋" w:hAnsi="仿宋"/>
          <w:shd w:val="clear" w:color="auto" w:fill="FFFFFF"/>
          <w:lang w:bidi="ar"/>
        </w:rPr>
        <w:t>加强总规划与子规划有效衔接。</w:t>
      </w:r>
    </w:p>
    <w:p w14:paraId="4DE32EDA">
      <w:pPr>
        <w:pStyle w:val="2"/>
        <w:numPr>
          <w:ilvl w:val="0"/>
          <w:numId w:val="3"/>
        </w:numPr>
        <w:rPr>
          <w:rFonts w:hint="eastAsia" w:ascii="仿宋" w:hAnsi="仿宋"/>
          <w:shd w:val="clear" w:color="auto" w:fill="FFFFFF"/>
          <w:lang w:bidi="ar"/>
        </w:rPr>
      </w:pPr>
      <w:bookmarkStart w:id="25" w:name="_Toc179548834"/>
      <w:r>
        <w:rPr>
          <w:rFonts w:hint="eastAsia" w:ascii="仿宋" w:hAnsi="仿宋"/>
          <w:shd w:val="clear" w:color="auto" w:fill="FFFFFF"/>
          <w:lang w:bidi="ar"/>
        </w:rPr>
        <w:t>上海松江区与申通地铁集团正在加快推动洞泾停车场上盖开发项目</w:t>
      </w:r>
      <w:bookmarkEnd w:id="25"/>
    </w:p>
    <w:p w14:paraId="28953FEE">
      <w:pPr>
        <w:pStyle w:val="48"/>
        <w:ind w:firstLine="480"/>
        <w:rPr>
          <w:rFonts w:hint="eastAsia" w:ascii="仿宋" w:hAnsi="仿宋"/>
          <w:shd w:val="clear" w:color="auto" w:fill="FFFFFF"/>
          <w:lang w:bidi="ar"/>
        </w:rPr>
      </w:pPr>
      <w:r>
        <w:rPr>
          <w:rFonts w:ascii="仿宋" w:hAnsi="仿宋"/>
          <w:shd w:val="clear" w:color="auto" w:fill="FFFFFF"/>
          <w:lang w:bidi="ar"/>
        </w:rPr>
        <w:t>9月10日下午，申通地铁集团党委书记、董事长毕湘利带队赴松江区开展工作对接，松江区委书记王华杰、副区长龚侃侃，集团公司副总裁于宁以及双方相关部门、单位负责人参加交流座谈。双方就进一步推进松江轨道交通建设展开座谈交流。座谈会上，申通地铁集团和松江区围绕12号线西延伸、洞泾停车场上盖开发项目和松江快线规划项目等工作开展充分交流讨论。申通地铁集团党委书记、董事长毕湘利表示，要加快推动洞泾停车场上盖开发项目，优选行业头部企业作为合作伙伴，打造高质量精品工程。</w:t>
      </w:r>
    </w:p>
    <w:p w14:paraId="00C26129">
      <w:pPr>
        <w:pStyle w:val="2"/>
        <w:numPr>
          <w:ilvl w:val="0"/>
          <w:numId w:val="3"/>
        </w:numPr>
        <w:rPr>
          <w:rFonts w:hint="eastAsia" w:ascii="仿宋" w:hAnsi="仿宋"/>
          <w:shd w:val="clear" w:color="auto" w:fill="FFFFFF"/>
          <w:lang w:bidi="ar"/>
        </w:rPr>
      </w:pPr>
      <w:bookmarkStart w:id="26" w:name="_Toc179548835"/>
      <w:r>
        <w:rPr>
          <w:rFonts w:hint="eastAsia" w:ascii="仿宋" w:hAnsi="仿宋"/>
          <w:shd w:val="clear" w:color="auto" w:fill="FFFFFF"/>
          <w:lang w:bidi="ar"/>
        </w:rPr>
        <w:t>沪苏浙皖联合组建长三角轨道交通运营公司</w:t>
      </w:r>
      <w:bookmarkEnd w:id="26"/>
    </w:p>
    <w:p w14:paraId="4FDBFE62">
      <w:pPr>
        <w:pStyle w:val="48"/>
        <w:ind w:firstLine="480"/>
        <w:rPr>
          <w:rFonts w:hint="eastAsia" w:ascii="仿宋" w:hAnsi="仿宋"/>
          <w:shd w:val="clear" w:color="auto" w:fill="FFFFFF"/>
          <w:lang w:bidi="ar"/>
        </w:rPr>
      </w:pPr>
      <w:r>
        <w:rPr>
          <w:rFonts w:ascii="仿宋" w:hAnsi="仿宋"/>
          <w:shd w:val="clear" w:color="auto" w:fill="FFFFFF"/>
          <w:lang w:bidi="ar"/>
        </w:rPr>
        <w:t>9月13日消息，为进一步发挥长三角地区在建立全国统一大市场中的龙头带动作用，上海市、江苏省、浙江省、安徽省发展改革委、市场监管局共同制定了《推进长三角区域市场一体化建设近期重点工作举措（2024-2025年）》。</w:t>
      </w:r>
      <w:r>
        <w:rPr>
          <w:rFonts w:hint="eastAsia" w:ascii="仿宋" w:hAnsi="仿宋"/>
          <w:shd w:val="clear" w:color="auto" w:fill="FFFFFF"/>
          <w:lang w:bidi="ar"/>
        </w:rPr>
        <w:t>其中提到，构建一体化综合交通运输网络，组建长三角轨道交通运营公司。加快长三角港口资源整合、加快长三角轨道交通互联互通，加快推进港口、铁路、机场、高等级航道、高速公路等重点项目建设，基本消除国家公路网、航道网既有省际瓶颈路段、航段。</w:t>
      </w:r>
    </w:p>
    <w:p w14:paraId="45BAD0DD">
      <w:pPr>
        <w:pStyle w:val="2"/>
        <w:numPr>
          <w:ilvl w:val="0"/>
          <w:numId w:val="3"/>
        </w:numPr>
        <w:rPr>
          <w:rFonts w:hint="eastAsia" w:ascii="仿宋" w:hAnsi="仿宋"/>
          <w:shd w:val="clear" w:color="auto" w:fill="FFFFFF"/>
          <w:lang w:bidi="ar"/>
        </w:rPr>
      </w:pPr>
      <w:bookmarkStart w:id="27" w:name="_Toc179548836"/>
      <w:r>
        <w:rPr>
          <w:rFonts w:hint="eastAsia" w:ascii="仿宋" w:hAnsi="仿宋"/>
          <w:shd w:val="clear" w:color="auto" w:fill="FFFFFF"/>
          <w:lang w:bidi="ar"/>
        </w:rPr>
        <w:t>「枢·融」义乌“国际开放枢纽区”统合规划设计国际竞赛正式开启</w:t>
      </w:r>
      <w:bookmarkEnd w:id="27"/>
    </w:p>
    <w:p w14:paraId="37DC5D4B">
      <w:pPr>
        <w:pStyle w:val="48"/>
        <w:ind w:firstLine="480"/>
        <w:rPr>
          <w:rFonts w:ascii="仿宋" w:hAnsi="仿宋"/>
          <w:shd w:val="clear" w:color="auto" w:fill="FFFFFF"/>
          <w:lang w:bidi="ar"/>
        </w:rPr>
      </w:pPr>
      <w:r>
        <w:rPr>
          <w:rFonts w:hint="eastAsia" w:ascii="仿宋" w:hAnsi="仿宋"/>
          <w:shd w:val="clear" w:color="auto" w:fill="FFFFFF"/>
          <w:lang w:bidi="ar"/>
        </w:rPr>
        <w:t>9月17日消息，「枢·融」义乌“国际开放枢纽区”统合规划设计国际竞赛正式开启。项目位于浙江省义乌市城市西北部，北邻浦江县。区域内包含义乌站，义乌机场两大交通枢纽，及陆港、海港、高速公路枢纽。本次竞赛的重点包括三个方面。一是营造商贸枢纽聚集地，即营造以空铁公枢纽为动力引擎，国际商贸汇集为核心吸引力，多元生活为持续活力的生机焕发的区域共融复合体。二是打造创新产业磁力场，即把握交通枢纽的便利优势，依托空铁枢纽经济区，开创孵化并集聚新质生产力，打造充满未来科技与创意活力的开放、生机、交互之场。三是塑造国际形象展示窗，即统筹生产、生活、生态三大空间，塑造向世界彰显义乌产业腾飞、文化汇聚、生态和谐的窗口，塑造义乌未来新的城市迎客厅。</w:t>
      </w:r>
    </w:p>
    <w:p w14:paraId="1BF3C616">
      <w:pPr>
        <w:pStyle w:val="2"/>
        <w:numPr>
          <w:ilvl w:val="0"/>
          <w:numId w:val="3"/>
        </w:numPr>
        <w:rPr>
          <w:rFonts w:hint="eastAsia" w:ascii="仿宋" w:hAnsi="仿宋"/>
          <w:shd w:val="clear" w:color="auto" w:fill="FFFFFF"/>
          <w:lang w:bidi="ar"/>
        </w:rPr>
      </w:pPr>
      <w:bookmarkStart w:id="28" w:name="_Toc179548837"/>
      <w:r>
        <w:rPr>
          <w:rFonts w:hint="eastAsia" w:ascii="仿宋" w:hAnsi="仿宋"/>
          <w:shd w:val="clear" w:color="auto" w:fill="FFFFFF"/>
          <w:lang w:bidi="ar"/>
        </w:rPr>
        <w:t>厦门规划院组织轨道交通TOD综合开发规划工作专家咨询会</w:t>
      </w:r>
      <w:bookmarkEnd w:id="28"/>
    </w:p>
    <w:p w14:paraId="2AB315D2">
      <w:pPr>
        <w:pStyle w:val="48"/>
        <w:ind w:firstLine="480"/>
        <w:rPr>
          <w:rFonts w:ascii="仿宋" w:hAnsi="仿宋"/>
          <w:shd w:val="clear" w:color="auto" w:fill="FFFFFF"/>
          <w:lang w:bidi="ar"/>
        </w:rPr>
      </w:pPr>
      <w:r>
        <w:rPr>
          <w:rFonts w:hint="eastAsia" w:ascii="仿宋" w:hAnsi="仿宋"/>
          <w:shd w:val="clear" w:color="auto" w:fill="FFFFFF"/>
          <w:lang w:bidi="ar"/>
        </w:rPr>
        <w:t>9月18日，厦门规划院于组织了轨道交通TOD综合开发规划工作专家咨询会。会议特邀原福建省住房和城乡建设厅总规划师王建萍、华侨大学建筑学院名誉院长边经卫、华侨大学副教授肖铭等专家，以及轨道集团TOD中心的相关领导，对厦门规划院正在开展的TOD开发规划工作及相关科创研究课题进行了深入指导。专家指出，“建轨道就是建城市”，相关规划要充分考虑TOD规划体系的构建，从全市域TOD规划管控到沿线资源统筹，再到项目开发，真正实现从社区TOD走向城市TOD的全面覆盖。针对后续工作，专家建议深化国内外同类城市轨道建设先进经验的研究，立足厦门空间特质及城市结构，建立TOD开发价值观，后续可持续开展轨道客流行为模式、TOD+城市更新政策等基础性研究。</w:t>
      </w:r>
    </w:p>
    <w:p w14:paraId="5C1F9699">
      <w:pPr>
        <w:pStyle w:val="48"/>
        <w:ind w:firstLine="480"/>
        <w:rPr>
          <w:rFonts w:hint="eastAsia" w:ascii="仿宋" w:hAnsi="仿宋"/>
        </w:rPr>
      </w:pPr>
    </w:p>
    <w:p w14:paraId="157821F5">
      <w:pPr>
        <w:pStyle w:val="2"/>
        <w:keepLines/>
        <w:widowControl w:val="0"/>
        <w:spacing w:before="163" w:after="163"/>
        <w:ind w:firstLine="562"/>
        <w:jc w:val="center"/>
        <w:rPr>
          <w:rFonts w:hint="eastAsia" w:ascii="仿宋" w:hAnsi="仿宋" w:cs="Times New Roman"/>
          <w:color w:val="5B9BD5" w:themeColor="accent5"/>
          <w:kern w:val="44"/>
          <w:sz w:val="28"/>
          <w14:textFill>
            <w14:solidFill>
              <w14:schemeClr w14:val="accent5"/>
            </w14:solidFill>
          </w14:textFill>
        </w:rPr>
        <w:sectPr>
          <w:pgSz w:w="11906" w:h="16838"/>
          <w:pgMar w:top="1440" w:right="1800" w:bottom="1440" w:left="1800" w:header="1474" w:footer="964" w:gutter="0"/>
          <w:cols w:space="425" w:num="1"/>
          <w:docGrid w:type="lines" w:linePitch="326" w:charSpace="0"/>
        </w:sectPr>
      </w:pPr>
    </w:p>
    <w:p w14:paraId="3D153877">
      <w:pPr>
        <w:pStyle w:val="2"/>
        <w:keepLines/>
        <w:widowControl w:val="0"/>
        <w:spacing w:before="163" w:after="163"/>
        <w:ind w:firstLine="562"/>
        <w:jc w:val="center"/>
        <w:rPr>
          <w:rFonts w:hint="eastAsia" w:ascii="黑体" w:hAnsi="黑体" w:eastAsia="黑体" w:cs="Times New Roman"/>
          <w:color w:val="5B9BD5" w:themeColor="accent5"/>
          <w:kern w:val="44"/>
          <w:sz w:val="28"/>
          <w14:textFill>
            <w14:solidFill>
              <w14:schemeClr w14:val="accent5"/>
            </w14:solidFill>
          </w14:textFill>
        </w:rPr>
      </w:pPr>
      <w:bookmarkStart w:id="29" w:name="_Toc179548838"/>
      <w:r>
        <w:rPr>
          <w:rFonts w:hint="eastAsia" w:ascii="黑体" w:hAnsi="黑体" w:eastAsia="黑体" w:cs="Times New Roman"/>
          <w:color w:val="5B9BD5" w:themeColor="accent5"/>
          <w:kern w:val="44"/>
          <w:sz w:val="28"/>
          <w14:textFill>
            <w14:solidFill>
              <w14:schemeClr w14:val="accent5"/>
            </w14:solidFill>
          </w14:textFill>
        </w:rPr>
        <w:t>三</w:t>
      </w:r>
      <w:r>
        <w:rPr>
          <w:rFonts w:ascii="黑体" w:hAnsi="黑体" w:eastAsia="黑体" w:cs="Times New Roman"/>
          <w:color w:val="5B9BD5" w:themeColor="accent5"/>
          <w:kern w:val="44"/>
          <w:sz w:val="28"/>
          <w14:textFill>
            <w14:solidFill>
              <w14:schemeClr w14:val="accent5"/>
            </w14:solidFill>
          </w14:textFill>
        </w:rPr>
        <w:t>、企业动态</w:t>
      </w:r>
      <w:bookmarkEnd w:id="29"/>
    </w:p>
    <w:p w14:paraId="3FCA34EE">
      <w:pPr>
        <w:pStyle w:val="2"/>
        <w:numPr>
          <w:ilvl w:val="0"/>
          <w:numId w:val="4"/>
        </w:numPr>
        <w:rPr>
          <w:rFonts w:hint="eastAsia" w:ascii="仿宋" w:hAnsi="仿宋"/>
          <w:lang w:bidi="ar"/>
        </w:rPr>
      </w:pPr>
      <w:bookmarkStart w:id="30" w:name="_Toc179548839"/>
      <w:bookmarkStart w:id="31" w:name="_Hlk176338499"/>
      <w:bookmarkStart w:id="32" w:name="_Hlk157771138"/>
      <w:r>
        <w:rPr>
          <w:rFonts w:hint="eastAsia" w:ascii="仿宋" w:hAnsi="仿宋"/>
          <w:shd w:val="clear" w:color="auto" w:fill="FFFFFF"/>
          <w:lang w:bidi="ar"/>
        </w:rPr>
        <w:t>9月TOD土地成交7幅，</w:t>
      </w:r>
      <w:r>
        <w:rPr>
          <w:rFonts w:hint="eastAsia" w:ascii="仿宋" w:hAnsi="仿宋"/>
          <w:lang w:bidi="ar"/>
        </w:rPr>
        <w:t>万科联合杭州地铁拿地1幅</w:t>
      </w:r>
      <w:bookmarkEnd w:id="30"/>
    </w:p>
    <w:bookmarkEnd w:id="31"/>
    <w:p w14:paraId="6834ED75">
      <w:pPr>
        <w:pStyle w:val="48"/>
        <w:ind w:firstLine="480"/>
        <w:rPr>
          <w:rFonts w:hint="eastAsia" w:ascii="仿宋" w:hAnsi="仿宋"/>
        </w:rPr>
      </w:pPr>
      <w:r>
        <w:rPr>
          <w:rFonts w:hint="eastAsia" w:ascii="仿宋" w:hAnsi="仿宋"/>
        </w:rPr>
        <w:t>9月份TOD土地市场较为活跃，北京、昆明、绍兴和杭州共成交7幅TOD地块，总用地面积约20万平方米，总建筑面积约44万平方米，总成交价为20.7亿元，均为底价成交，其中万科联合杭州地铁获得1幅综合地块。</w:t>
      </w:r>
    </w:p>
    <w:p w14:paraId="7E8C4C4A">
      <w:pPr>
        <w:ind w:firstLine="482"/>
        <w:jc w:val="center"/>
        <w:rPr>
          <w:rFonts w:hint="eastAsia" w:ascii="仿宋" w:hAnsi="仿宋"/>
          <w:b/>
          <w:bCs/>
        </w:rPr>
      </w:pPr>
      <w:r>
        <w:rPr>
          <w:rFonts w:hint="eastAsia" w:ascii="仿宋" w:hAnsi="仿宋"/>
          <w:b/>
          <w:bCs/>
        </w:rPr>
        <w:t>表：2</w:t>
      </w:r>
      <w:r>
        <w:rPr>
          <w:rFonts w:ascii="仿宋" w:hAnsi="仿宋"/>
          <w:b/>
          <w:bCs/>
        </w:rPr>
        <w:t>024</w:t>
      </w:r>
      <w:r>
        <w:rPr>
          <w:rFonts w:hint="eastAsia" w:ascii="仿宋" w:hAnsi="仿宋"/>
          <w:b/>
          <w:bCs/>
        </w:rPr>
        <w:t>年9月份典型城市T</w:t>
      </w:r>
      <w:r>
        <w:rPr>
          <w:rFonts w:ascii="仿宋" w:hAnsi="仿宋"/>
          <w:b/>
          <w:bCs/>
        </w:rPr>
        <w:t>OD</w:t>
      </w:r>
      <w:r>
        <w:rPr>
          <w:rFonts w:hint="eastAsia" w:ascii="仿宋" w:hAnsi="仿宋"/>
          <w:b/>
          <w:bCs/>
        </w:rPr>
        <w:t>地块成交信息</w:t>
      </w:r>
    </w:p>
    <w:p w14:paraId="3A994552">
      <w:pPr>
        <w:ind w:firstLine="440"/>
        <w:jc w:val="right"/>
        <w:rPr>
          <w:rFonts w:hint="eastAsia" w:ascii="仿宋" w:hAnsi="仿宋" w:cs="宋体"/>
          <w:kern w:val="0"/>
          <w:sz w:val="21"/>
          <w:szCs w:val="21"/>
        </w:rPr>
      </w:pPr>
      <w:r>
        <w:rPr>
          <w:rFonts w:hint="eastAsia" w:ascii="仿宋" w:hAnsi="仿宋"/>
          <w:sz w:val="22"/>
          <w:szCs w:val="21"/>
        </w:rPr>
        <w:t>单位：</w:t>
      </w:r>
      <w:r>
        <w:rPr>
          <w:rFonts w:hint="eastAsia" w:ascii="仿宋" w:hAnsi="仿宋" w:cs="宋体"/>
          <w:kern w:val="0"/>
          <w:sz w:val="21"/>
          <w:szCs w:val="21"/>
        </w:rPr>
        <w:t>㎡、万元</w:t>
      </w:r>
    </w:p>
    <w:tbl>
      <w:tblPr>
        <w:tblStyle w:val="56"/>
        <w:tblW w:w="5000" w:type="pct"/>
        <w:tblInd w:w="0" w:type="dxa"/>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
      <w:tblGrid>
        <w:gridCol w:w="728"/>
        <w:gridCol w:w="1459"/>
        <w:gridCol w:w="869"/>
        <w:gridCol w:w="1019"/>
        <w:gridCol w:w="1018"/>
        <w:gridCol w:w="1164"/>
        <w:gridCol w:w="1456"/>
        <w:gridCol w:w="809"/>
      </w:tblGrid>
      <w:tr w14:paraId="5484F741">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tcBorders>
              <w:bottom w:val="single" w:color="9CC2E5" w:themeColor="accent5" w:themeTint="99" w:sz="12" w:space="0"/>
              <w:insideH w:val="single" w:sz="12" w:space="0"/>
            </w:tcBorders>
            <w:noWrap/>
            <w:vAlign w:val="center"/>
          </w:tcPr>
          <w:p w14:paraId="3256AB4E">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城市</w:t>
            </w:r>
          </w:p>
        </w:tc>
        <w:tc>
          <w:tcPr>
            <w:tcW w:w="856" w:type="pct"/>
            <w:tcBorders>
              <w:bottom w:val="single" w:color="9CC2E5" w:themeColor="accent5" w:themeTint="99" w:sz="12" w:space="0"/>
              <w:insideH w:val="single" w:sz="12" w:space="0"/>
            </w:tcBorders>
            <w:noWrap/>
            <w:vAlign w:val="center"/>
          </w:tcPr>
          <w:p w14:paraId="41F6904D">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土地名称</w:t>
            </w:r>
          </w:p>
        </w:tc>
        <w:tc>
          <w:tcPr>
            <w:tcW w:w="510" w:type="pct"/>
            <w:tcBorders>
              <w:bottom w:val="single" w:color="9CC2E5" w:themeColor="accent5" w:themeTint="99" w:sz="12" w:space="0"/>
              <w:insideH w:val="single" w:sz="12" w:space="0"/>
            </w:tcBorders>
            <w:noWrap/>
            <w:vAlign w:val="center"/>
          </w:tcPr>
          <w:p w14:paraId="2B0A9FF5">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土地属性</w:t>
            </w:r>
          </w:p>
        </w:tc>
        <w:tc>
          <w:tcPr>
            <w:tcW w:w="598" w:type="pct"/>
            <w:tcBorders>
              <w:bottom w:val="single" w:color="9CC2E5" w:themeColor="accent5" w:themeTint="99" w:sz="12" w:space="0"/>
              <w:insideH w:val="single" w:sz="12" w:space="0"/>
            </w:tcBorders>
            <w:noWrap/>
            <w:vAlign w:val="center"/>
          </w:tcPr>
          <w:p w14:paraId="51A74681">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用地面积(㎡)</w:t>
            </w:r>
          </w:p>
        </w:tc>
        <w:tc>
          <w:tcPr>
            <w:tcW w:w="597" w:type="pct"/>
            <w:tcBorders>
              <w:bottom w:val="single" w:color="9CC2E5" w:themeColor="accent5" w:themeTint="99" w:sz="12" w:space="0"/>
              <w:insideH w:val="single" w:sz="12" w:space="0"/>
            </w:tcBorders>
            <w:noWrap/>
            <w:vAlign w:val="center"/>
          </w:tcPr>
          <w:p w14:paraId="1948AE2A">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规划建面(㎡)</w:t>
            </w:r>
          </w:p>
        </w:tc>
        <w:tc>
          <w:tcPr>
            <w:tcW w:w="683" w:type="pct"/>
            <w:tcBorders>
              <w:bottom w:val="single" w:color="9CC2E5" w:themeColor="accent5" w:themeTint="99" w:sz="12" w:space="0"/>
              <w:insideH w:val="single" w:sz="12" w:space="0"/>
            </w:tcBorders>
            <w:noWrap/>
            <w:vAlign w:val="center"/>
          </w:tcPr>
          <w:p w14:paraId="144E38EF">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成交总价(万元)</w:t>
            </w:r>
          </w:p>
        </w:tc>
        <w:tc>
          <w:tcPr>
            <w:tcW w:w="854" w:type="pct"/>
            <w:tcBorders>
              <w:bottom w:val="single" w:color="9CC2E5" w:themeColor="accent5" w:themeTint="99" w:sz="12" w:space="0"/>
              <w:insideH w:val="single" w:sz="12" w:space="0"/>
            </w:tcBorders>
            <w:noWrap/>
            <w:vAlign w:val="center"/>
          </w:tcPr>
          <w:p w14:paraId="548CAEA0">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竞得企业</w:t>
            </w:r>
          </w:p>
        </w:tc>
        <w:tc>
          <w:tcPr>
            <w:tcW w:w="475" w:type="pct"/>
            <w:tcBorders>
              <w:bottom w:val="single" w:color="9CC2E5" w:themeColor="accent5" w:themeTint="99" w:sz="12" w:space="0"/>
              <w:insideH w:val="single" w:sz="12" w:space="0"/>
            </w:tcBorders>
            <w:noWrap/>
            <w:vAlign w:val="center"/>
          </w:tcPr>
          <w:p w14:paraId="02A379D1">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成交日期</w:t>
            </w:r>
          </w:p>
        </w:tc>
      </w:tr>
      <w:tr w14:paraId="2A08F3B5">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206FD78D">
            <w:pPr>
              <w:widowControl/>
              <w:spacing w:line="240" w:lineRule="auto"/>
              <w:ind w:firstLine="0" w:firstLineChars="0"/>
              <w:jc w:val="center"/>
              <w:rPr>
                <w:rFonts w:hint="eastAsia" w:ascii="仿宋" w:hAnsi="仿宋" w:cs="宋体"/>
                <w:b w:val="0"/>
                <w:bCs w:val="0"/>
                <w:color w:val="000000"/>
                <w:kern w:val="0"/>
                <w:sz w:val="21"/>
                <w:szCs w:val="21"/>
              </w:rPr>
            </w:pPr>
            <w:r>
              <w:rPr>
                <w:rFonts w:hint="eastAsia" w:ascii="仿宋" w:hAnsi="仿宋" w:cs="宋体"/>
                <w:b w:val="0"/>
                <w:bCs w:val="0"/>
                <w:color w:val="000000"/>
                <w:kern w:val="0"/>
                <w:sz w:val="21"/>
                <w:szCs w:val="21"/>
              </w:rPr>
              <w:t>北京</w:t>
            </w:r>
          </w:p>
        </w:tc>
        <w:tc>
          <w:tcPr>
            <w:tcW w:w="856" w:type="pct"/>
            <w:noWrap/>
            <w:vAlign w:val="center"/>
          </w:tcPr>
          <w:p w14:paraId="7DAD1010">
            <w:pPr>
              <w:widowControl/>
              <w:spacing w:line="240" w:lineRule="auto"/>
              <w:ind w:firstLine="0" w:firstLineChars="0"/>
              <w:rPr>
                <w:rFonts w:hint="eastAsia" w:ascii="仿宋" w:hAnsi="仿宋" w:cs="宋体"/>
                <w:color w:val="000000"/>
                <w:kern w:val="0"/>
                <w:sz w:val="21"/>
                <w:szCs w:val="21"/>
              </w:rPr>
            </w:pPr>
            <w:r>
              <w:rPr>
                <w:rFonts w:hint="eastAsia" w:ascii="仿宋" w:hAnsi="仿宋" w:cs="宋体"/>
                <w:color w:val="000000"/>
                <w:kern w:val="0"/>
                <w:sz w:val="21"/>
                <w:szCs w:val="21"/>
              </w:rPr>
              <w:t>DX16-0104-0013地块F3其他类多功能用地</w:t>
            </w:r>
          </w:p>
        </w:tc>
        <w:tc>
          <w:tcPr>
            <w:tcW w:w="510" w:type="pct"/>
            <w:noWrap/>
            <w:vAlign w:val="center"/>
          </w:tcPr>
          <w:p w14:paraId="734E3FD4">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商办</w:t>
            </w:r>
          </w:p>
        </w:tc>
        <w:tc>
          <w:tcPr>
            <w:tcW w:w="598" w:type="pct"/>
            <w:noWrap/>
            <w:vAlign w:val="center"/>
          </w:tcPr>
          <w:p w14:paraId="1BF39856">
            <w:pPr>
              <w:widowControl/>
              <w:spacing w:line="240" w:lineRule="auto"/>
              <w:ind w:firstLine="0" w:firstLineChars="0"/>
              <w:jc w:val="center"/>
              <w:rPr>
                <w:rFonts w:hint="eastAsia" w:ascii="仿宋" w:hAnsi="仿宋" w:cs="宋体"/>
                <w:color w:val="000000"/>
                <w:kern w:val="0"/>
                <w:sz w:val="21"/>
                <w:szCs w:val="21"/>
              </w:rPr>
            </w:pPr>
            <w:r>
              <w:rPr>
                <w:rFonts w:ascii="仿宋" w:hAnsi="仿宋" w:cs="宋体"/>
                <w:color w:val="000000"/>
                <w:kern w:val="0"/>
                <w:sz w:val="21"/>
                <w:szCs w:val="21"/>
              </w:rPr>
              <w:t>32,423</w:t>
            </w:r>
          </w:p>
        </w:tc>
        <w:tc>
          <w:tcPr>
            <w:tcW w:w="597" w:type="pct"/>
            <w:noWrap/>
            <w:vAlign w:val="center"/>
          </w:tcPr>
          <w:p w14:paraId="6B27D981">
            <w:pPr>
              <w:widowControl/>
              <w:spacing w:line="240" w:lineRule="auto"/>
              <w:ind w:firstLine="0" w:firstLineChars="0"/>
              <w:jc w:val="center"/>
              <w:rPr>
                <w:rFonts w:hint="eastAsia" w:ascii="仿宋" w:hAnsi="仿宋" w:cs="宋体"/>
                <w:color w:val="000000"/>
                <w:kern w:val="0"/>
                <w:sz w:val="21"/>
                <w:szCs w:val="21"/>
              </w:rPr>
            </w:pPr>
            <w:r>
              <w:rPr>
                <w:rFonts w:ascii="仿宋" w:hAnsi="仿宋" w:cs="宋体"/>
                <w:color w:val="000000"/>
                <w:kern w:val="0"/>
                <w:sz w:val="21"/>
                <w:szCs w:val="21"/>
              </w:rPr>
              <w:t>42,150</w:t>
            </w:r>
          </w:p>
        </w:tc>
        <w:tc>
          <w:tcPr>
            <w:tcW w:w="683" w:type="pct"/>
            <w:noWrap/>
            <w:vAlign w:val="center"/>
          </w:tcPr>
          <w:p w14:paraId="72D027E4">
            <w:pPr>
              <w:widowControl/>
              <w:spacing w:line="240" w:lineRule="auto"/>
              <w:ind w:firstLine="0" w:firstLineChars="0"/>
              <w:jc w:val="center"/>
              <w:rPr>
                <w:rFonts w:hint="eastAsia" w:ascii="仿宋" w:hAnsi="仿宋" w:cs="宋体"/>
                <w:color w:val="000000"/>
                <w:kern w:val="0"/>
                <w:sz w:val="21"/>
                <w:szCs w:val="21"/>
              </w:rPr>
            </w:pPr>
            <w:r>
              <w:rPr>
                <w:rFonts w:ascii="仿宋" w:hAnsi="仿宋" w:cs="宋体"/>
                <w:color w:val="000000"/>
                <w:kern w:val="0"/>
                <w:sz w:val="21"/>
                <w:szCs w:val="21"/>
              </w:rPr>
              <w:t>23,500</w:t>
            </w:r>
          </w:p>
        </w:tc>
        <w:tc>
          <w:tcPr>
            <w:tcW w:w="854" w:type="pct"/>
            <w:noWrap/>
            <w:vAlign w:val="center"/>
          </w:tcPr>
          <w:p w14:paraId="369743C0">
            <w:pPr>
              <w:widowControl/>
              <w:spacing w:line="240" w:lineRule="auto"/>
              <w:ind w:firstLine="0" w:firstLineChars="0"/>
              <w:jc w:val="center"/>
              <w:rPr>
                <w:rFonts w:ascii="仿宋" w:hAnsi="仿宋" w:cs="Arial"/>
                <w:kern w:val="0"/>
                <w:sz w:val="21"/>
                <w:szCs w:val="21"/>
              </w:rPr>
            </w:pPr>
            <w:r>
              <w:rPr>
                <w:rFonts w:hint="eastAsia" w:ascii="仿宋" w:hAnsi="仿宋" w:cs="Arial"/>
                <w:kern w:val="0"/>
                <w:sz w:val="21"/>
                <w:szCs w:val="21"/>
              </w:rPr>
              <w:t>北京航城兴贤商业管理有限公司</w:t>
            </w:r>
          </w:p>
        </w:tc>
        <w:tc>
          <w:tcPr>
            <w:tcW w:w="475" w:type="pct"/>
            <w:noWrap/>
            <w:vAlign w:val="center"/>
          </w:tcPr>
          <w:p w14:paraId="640EE23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09-04</w:t>
            </w:r>
          </w:p>
        </w:tc>
      </w:tr>
      <w:tr w14:paraId="12FE6CA2">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633C9DBD">
            <w:pPr>
              <w:widowControl/>
              <w:spacing w:line="240" w:lineRule="auto"/>
              <w:ind w:firstLine="0" w:firstLineChars="0"/>
              <w:jc w:val="center"/>
              <w:rPr>
                <w:rFonts w:hint="eastAsia" w:ascii="仿宋" w:hAnsi="仿宋" w:cs="宋体"/>
                <w:b w:val="0"/>
                <w:bCs w:val="0"/>
                <w:color w:val="000000"/>
                <w:kern w:val="0"/>
                <w:sz w:val="21"/>
                <w:szCs w:val="21"/>
              </w:rPr>
            </w:pPr>
            <w:r>
              <w:rPr>
                <w:rFonts w:hint="eastAsia" w:ascii="仿宋" w:hAnsi="仿宋" w:cs="宋体"/>
                <w:b w:val="0"/>
                <w:bCs w:val="0"/>
                <w:color w:val="000000"/>
                <w:kern w:val="0"/>
                <w:sz w:val="21"/>
                <w:szCs w:val="21"/>
              </w:rPr>
              <w:t>昆明</w:t>
            </w:r>
          </w:p>
        </w:tc>
        <w:tc>
          <w:tcPr>
            <w:tcW w:w="856" w:type="pct"/>
            <w:noWrap/>
            <w:vAlign w:val="center"/>
          </w:tcPr>
          <w:p w14:paraId="277C391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KCXS2023-15号地块</w:t>
            </w:r>
          </w:p>
        </w:tc>
        <w:tc>
          <w:tcPr>
            <w:tcW w:w="510" w:type="pct"/>
            <w:vMerge w:val="restart"/>
            <w:noWrap/>
            <w:vAlign w:val="center"/>
          </w:tcPr>
          <w:p w14:paraId="63A73AF6">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纯住宅（安置房）</w:t>
            </w:r>
          </w:p>
        </w:tc>
        <w:tc>
          <w:tcPr>
            <w:tcW w:w="598" w:type="pct"/>
            <w:noWrap/>
            <w:vAlign w:val="center"/>
          </w:tcPr>
          <w:p w14:paraId="218DE921">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6,869</w:t>
            </w:r>
          </w:p>
        </w:tc>
        <w:tc>
          <w:tcPr>
            <w:tcW w:w="597" w:type="pct"/>
            <w:noWrap/>
            <w:vAlign w:val="center"/>
          </w:tcPr>
          <w:p w14:paraId="5C3550D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17,173</w:t>
            </w:r>
          </w:p>
        </w:tc>
        <w:tc>
          <w:tcPr>
            <w:tcW w:w="683" w:type="pct"/>
            <w:noWrap/>
            <w:vAlign w:val="center"/>
          </w:tcPr>
          <w:p w14:paraId="046ADDE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2,060</w:t>
            </w:r>
          </w:p>
        </w:tc>
        <w:tc>
          <w:tcPr>
            <w:tcW w:w="854" w:type="pct"/>
            <w:noWrap/>
            <w:vAlign w:val="center"/>
          </w:tcPr>
          <w:p w14:paraId="3E937D37">
            <w:pPr>
              <w:widowControl/>
              <w:spacing w:line="240" w:lineRule="auto"/>
              <w:ind w:firstLine="0" w:firstLineChars="0"/>
              <w:jc w:val="center"/>
              <w:rPr>
                <w:rFonts w:hint="eastAsia" w:ascii="仿宋" w:hAnsi="仿宋" w:cs="Arial"/>
                <w:kern w:val="0"/>
                <w:sz w:val="21"/>
                <w:szCs w:val="21"/>
              </w:rPr>
            </w:pPr>
            <w:r>
              <w:rPr>
                <w:rFonts w:ascii="仿宋" w:hAnsi="仿宋" w:cs="Arial"/>
                <w:kern w:val="0"/>
                <w:sz w:val="21"/>
                <w:szCs w:val="21"/>
              </w:rPr>
              <w:t>昆明地铁城市开发有限公司</w:t>
            </w:r>
          </w:p>
        </w:tc>
        <w:tc>
          <w:tcPr>
            <w:tcW w:w="475" w:type="pct"/>
            <w:noWrap/>
            <w:vAlign w:val="center"/>
          </w:tcPr>
          <w:p w14:paraId="5B3ECAF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09-02</w:t>
            </w:r>
          </w:p>
        </w:tc>
      </w:tr>
      <w:tr w14:paraId="683D2221">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6E4D33E6">
            <w:pPr>
              <w:widowControl/>
              <w:spacing w:line="240" w:lineRule="auto"/>
              <w:ind w:firstLine="0" w:firstLineChars="0"/>
              <w:jc w:val="center"/>
              <w:rPr>
                <w:rFonts w:hint="eastAsia" w:ascii="仿宋" w:hAnsi="仿宋" w:cs="宋体"/>
                <w:b w:val="0"/>
                <w:bCs w:val="0"/>
                <w:color w:val="000000"/>
                <w:kern w:val="0"/>
                <w:sz w:val="21"/>
                <w:szCs w:val="21"/>
              </w:rPr>
            </w:pPr>
            <w:r>
              <w:rPr>
                <w:rFonts w:hint="eastAsia" w:ascii="仿宋" w:hAnsi="仿宋" w:cs="宋体"/>
                <w:b w:val="0"/>
                <w:bCs w:val="0"/>
                <w:color w:val="000000"/>
                <w:kern w:val="0"/>
                <w:sz w:val="21"/>
                <w:szCs w:val="21"/>
              </w:rPr>
              <w:t>昆明</w:t>
            </w:r>
          </w:p>
        </w:tc>
        <w:tc>
          <w:tcPr>
            <w:tcW w:w="856" w:type="pct"/>
            <w:noWrap/>
            <w:vAlign w:val="center"/>
          </w:tcPr>
          <w:p w14:paraId="22CCEF8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KCXS2023-13号地块</w:t>
            </w:r>
          </w:p>
        </w:tc>
        <w:tc>
          <w:tcPr>
            <w:tcW w:w="510" w:type="pct"/>
            <w:vMerge w:val="continue"/>
            <w:noWrap/>
            <w:vAlign w:val="center"/>
          </w:tcPr>
          <w:p w14:paraId="2B0EA467">
            <w:pPr>
              <w:widowControl/>
              <w:spacing w:line="240" w:lineRule="auto"/>
              <w:ind w:firstLine="0" w:firstLineChars="0"/>
              <w:jc w:val="center"/>
              <w:rPr>
                <w:rFonts w:hint="eastAsia" w:ascii="仿宋" w:hAnsi="仿宋" w:cs="宋体"/>
                <w:color w:val="000000"/>
                <w:kern w:val="0"/>
                <w:sz w:val="21"/>
                <w:szCs w:val="21"/>
              </w:rPr>
            </w:pPr>
          </w:p>
        </w:tc>
        <w:tc>
          <w:tcPr>
            <w:tcW w:w="598" w:type="pct"/>
            <w:noWrap/>
            <w:vAlign w:val="center"/>
          </w:tcPr>
          <w:p w14:paraId="6BC5D563">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13,772</w:t>
            </w:r>
          </w:p>
        </w:tc>
        <w:tc>
          <w:tcPr>
            <w:tcW w:w="597" w:type="pct"/>
            <w:noWrap/>
            <w:vAlign w:val="center"/>
          </w:tcPr>
          <w:p w14:paraId="1F982C3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22,035</w:t>
            </w:r>
          </w:p>
        </w:tc>
        <w:tc>
          <w:tcPr>
            <w:tcW w:w="683" w:type="pct"/>
            <w:noWrap/>
            <w:vAlign w:val="center"/>
          </w:tcPr>
          <w:p w14:paraId="2BE5914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4,132</w:t>
            </w:r>
          </w:p>
        </w:tc>
        <w:tc>
          <w:tcPr>
            <w:tcW w:w="854" w:type="pct"/>
            <w:noWrap/>
            <w:vAlign w:val="center"/>
          </w:tcPr>
          <w:p w14:paraId="21021879">
            <w:pPr>
              <w:widowControl/>
              <w:spacing w:line="240" w:lineRule="auto"/>
              <w:ind w:firstLine="0" w:firstLineChars="0"/>
              <w:jc w:val="center"/>
              <w:rPr>
                <w:rFonts w:hint="eastAsia" w:ascii="仿宋" w:hAnsi="仿宋" w:cs="Arial"/>
                <w:kern w:val="0"/>
                <w:sz w:val="21"/>
                <w:szCs w:val="21"/>
              </w:rPr>
            </w:pPr>
            <w:r>
              <w:rPr>
                <w:rFonts w:ascii="仿宋" w:hAnsi="仿宋" w:cs="Arial"/>
                <w:kern w:val="0"/>
                <w:sz w:val="21"/>
                <w:szCs w:val="21"/>
              </w:rPr>
              <w:t>昆明地铁城市开发有限公司</w:t>
            </w:r>
          </w:p>
        </w:tc>
        <w:tc>
          <w:tcPr>
            <w:tcW w:w="475" w:type="pct"/>
            <w:noWrap/>
            <w:vAlign w:val="center"/>
          </w:tcPr>
          <w:p w14:paraId="687193B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09-04</w:t>
            </w:r>
          </w:p>
        </w:tc>
      </w:tr>
      <w:tr w14:paraId="4D1230B6">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4BB23D31">
            <w:pPr>
              <w:widowControl/>
              <w:spacing w:line="240" w:lineRule="auto"/>
              <w:ind w:firstLine="0" w:firstLineChars="0"/>
              <w:jc w:val="center"/>
              <w:rPr>
                <w:rFonts w:hint="eastAsia" w:ascii="仿宋" w:hAnsi="仿宋" w:cs="宋体"/>
                <w:b w:val="0"/>
                <w:bCs w:val="0"/>
                <w:color w:val="000000"/>
                <w:kern w:val="0"/>
                <w:sz w:val="21"/>
                <w:szCs w:val="21"/>
              </w:rPr>
            </w:pPr>
            <w:r>
              <w:rPr>
                <w:rFonts w:hint="eastAsia" w:ascii="仿宋" w:hAnsi="仿宋" w:cs="宋体"/>
                <w:b w:val="0"/>
                <w:bCs w:val="0"/>
                <w:color w:val="000000"/>
                <w:kern w:val="0"/>
                <w:sz w:val="21"/>
                <w:szCs w:val="21"/>
              </w:rPr>
              <w:t>昆明</w:t>
            </w:r>
          </w:p>
        </w:tc>
        <w:tc>
          <w:tcPr>
            <w:tcW w:w="856" w:type="pct"/>
            <w:noWrap/>
            <w:vAlign w:val="center"/>
          </w:tcPr>
          <w:p w14:paraId="0FE2582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KCXS2023-14号地块</w:t>
            </w:r>
          </w:p>
        </w:tc>
        <w:tc>
          <w:tcPr>
            <w:tcW w:w="510" w:type="pct"/>
            <w:vMerge w:val="continue"/>
            <w:noWrap/>
            <w:vAlign w:val="center"/>
          </w:tcPr>
          <w:p w14:paraId="795D3B84">
            <w:pPr>
              <w:widowControl/>
              <w:spacing w:line="240" w:lineRule="auto"/>
              <w:ind w:firstLine="0" w:firstLineChars="0"/>
              <w:jc w:val="center"/>
              <w:rPr>
                <w:rFonts w:hint="eastAsia" w:ascii="仿宋" w:hAnsi="仿宋" w:cs="宋体"/>
                <w:color w:val="000000"/>
                <w:kern w:val="0"/>
                <w:sz w:val="21"/>
                <w:szCs w:val="21"/>
              </w:rPr>
            </w:pPr>
          </w:p>
        </w:tc>
        <w:tc>
          <w:tcPr>
            <w:tcW w:w="598" w:type="pct"/>
            <w:noWrap/>
            <w:vAlign w:val="center"/>
          </w:tcPr>
          <w:p w14:paraId="08C12540">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42,133</w:t>
            </w:r>
          </w:p>
        </w:tc>
        <w:tc>
          <w:tcPr>
            <w:tcW w:w="597" w:type="pct"/>
            <w:noWrap/>
            <w:vAlign w:val="center"/>
          </w:tcPr>
          <w:p w14:paraId="74BECA1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101,119</w:t>
            </w:r>
          </w:p>
        </w:tc>
        <w:tc>
          <w:tcPr>
            <w:tcW w:w="683" w:type="pct"/>
            <w:noWrap/>
            <w:vAlign w:val="center"/>
          </w:tcPr>
          <w:p w14:paraId="565C876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12,640</w:t>
            </w:r>
          </w:p>
        </w:tc>
        <w:tc>
          <w:tcPr>
            <w:tcW w:w="854" w:type="pct"/>
            <w:noWrap/>
            <w:vAlign w:val="center"/>
          </w:tcPr>
          <w:p w14:paraId="4701C22E">
            <w:pPr>
              <w:widowControl/>
              <w:spacing w:line="240" w:lineRule="auto"/>
              <w:ind w:firstLine="0" w:firstLineChars="0"/>
              <w:jc w:val="center"/>
              <w:rPr>
                <w:rFonts w:hint="eastAsia" w:ascii="仿宋" w:hAnsi="仿宋" w:cs="Arial"/>
                <w:kern w:val="0"/>
                <w:sz w:val="21"/>
                <w:szCs w:val="21"/>
              </w:rPr>
            </w:pPr>
            <w:r>
              <w:rPr>
                <w:rFonts w:ascii="仿宋" w:hAnsi="仿宋" w:cs="Arial"/>
                <w:kern w:val="0"/>
                <w:sz w:val="21"/>
                <w:szCs w:val="21"/>
              </w:rPr>
              <w:t>昆明地铁城市开发有限公司</w:t>
            </w:r>
          </w:p>
        </w:tc>
        <w:tc>
          <w:tcPr>
            <w:tcW w:w="475" w:type="pct"/>
            <w:noWrap/>
            <w:vAlign w:val="center"/>
          </w:tcPr>
          <w:p w14:paraId="276E49CE">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09-09</w:t>
            </w:r>
          </w:p>
        </w:tc>
      </w:tr>
      <w:tr w14:paraId="052E33B3">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3D80199E">
            <w:pPr>
              <w:widowControl/>
              <w:spacing w:line="240" w:lineRule="auto"/>
              <w:ind w:firstLine="0" w:firstLineChars="0"/>
              <w:jc w:val="center"/>
              <w:rPr>
                <w:rFonts w:hint="eastAsia" w:ascii="仿宋" w:hAnsi="仿宋" w:cs="宋体"/>
                <w:b w:val="0"/>
                <w:bCs w:val="0"/>
                <w:color w:val="000000"/>
                <w:kern w:val="0"/>
                <w:sz w:val="21"/>
                <w:szCs w:val="21"/>
              </w:rPr>
            </w:pPr>
            <w:r>
              <w:rPr>
                <w:rFonts w:hint="eastAsia" w:ascii="仿宋" w:hAnsi="仿宋" w:cs="宋体"/>
                <w:b w:val="0"/>
                <w:bCs w:val="0"/>
                <w:color w:val="000000"/>
                <w:kern w:val="0"/>
                <w:sz w:val="21"/>
                <w:szCs w:val="21"/>
              </w:rPr>
              <w:t>昆明</w:t>
            </w:r>
          </w:p>
        </w:tc>
        <w:tc>
          <w:tcPr>
            <w:tcW w:w="856" w:type="pct"/>
            <w:noWrap/>
            <w:vAlign w:val="center"/>
          </w:tcPr>
          <w:p w14:paraId="76638C46">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KCXS2023-17</w:t>
            </w:r>
          </w:p>
        </w:tc>
        <w:tc>
          <w:tcPr>
            <w:tcW w:w="510" w:type="pct"/>
            <w:vMerge w:val="continue"/>
            <w:noWrap/>
            <w:vAlign w:val="center"/>
          </w:tcPr>
          <w:p w14:paraId="64095D60">
            <w:pPr>
              <w:widowControl/>
              <w:spacing w:line="240" w:lineRule="auto"/>
              <w:ind w:firstLine="0" w:firstLineChars="0"/>
              <w:jc w:val="center"/>
              <w:rPr>
                <w:rFonts w:hint="eastAsia" w:ascii="仿宋" w:hAnsi="仿宋" w:cs="宋体"/>
                <w:color w:val="000000"/>
                <w:kern w:val="0"/>
                <w:sz w:val="21"/>
                <w:szCs w:val="21"/>
              </w:rPr>
            </w:pPr>
          </w:p>
        </w:tc>
        <w:tc>
          <w:tcPr>
            <w:tcW w:w="598" w:type="pct"/>
            <w:noWrap/>
            <w:vAlign w:val="center"/>
          </w:tcPr>
          <w:p w14:paraId="56502722">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36,850</w:t>
            </w:r>
          </w:p>
        </w:tc>
        <w:tc>
          <w:tcPr>
            <w:tcW w:w="597" w:type="pct"/>
            <w:noWrap/>
            <w:vAlign w:val="center"/>
          </w:tcPr>
          <w:p w14:paraId="5BFA1579">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92,126</w:t>
            </w:r>
          </w:p>
        </w:tc>
        <w:tc>
          <w:tcPr>
            <w:tcW w:w="683" w:type="pct"/>
            <w:noWrap/>
            <w:vAlign w:val="center"/>
          </w:tcPr>
          <w:p w14:paraId="24169FC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11,056</w:t>
            </w:r>
          </w:p>
        </w:tc>
        <w:tc>
          <w:tcPr>
            <w:tcW w:w="854" w:type="pct"/>
            <w:noWrap/>
            <w:vAlign w:val="center"/>
          </w:tcPr>
          <w:p w14:paraId="12FD0A9C">
            <w:pPr>
              <w:widowControl/>
              <w:spacing w:line="240" w:lineRule="auto"/>
              <w:ind w:firstLine="0" w:firstLineChars="0"/>
              <w:jc w:val="center"/>
              <w:rPr>
                <w:rFonts w:hint="eastAsia" w:ascii="仿宋" w:hAnsi="仿宋" w:cs="Arial"/>
                <w:kern w:val="0"/>
                <w:sz w:val="21"/>
                <w:szCs w:val="21"/>
              </w:rPr>
            </w:pPr>
            <w:r>
              <w:rPr>
                <w:rFonts w:ascii="仿宋" w:hAnsi="仿宋" w:cs="Arial"/>
                <w:kern w:val="0"/>
                <w:sz w:val="21"/>
                <w:szCs w:val="21"/>
              </w:rPr>
              <w:t>昆明地铁城市开发有限公司</w:t>
            </w:r>
          </w:p>
        </w:tc>
        <w:tc>
          <w:tcPr>
            <w:tcW w:w="475" w:type="pct"/>
            <w:noWrap/>
            <w:vAlign w:val="center"/>
          </w:tcPr>
          <w:p w14:paraId="108CD0AD">
            <w:pPr>
              <w:widowControl/>
              <w:spacing w:line="240" w:lineRule="auto"/>
              <w:ind w:firstLine="0" w:firstLineChars="0"/>
              <w:jc w:val="center"/>
              <w:rPr>
                <w:rFonts w:hint="eastAsia" w:ascii="仿宋" w:hAnsi="仿宋" w:cs="宋体"/>
                <w:kern w:val="0"/>
                <w:sz w:val="21"/>
                <w:szCs w:val="21"/>
              </w:rPr>
            </w:pPr>
            <w:r>
              <w:rPr>
                <w:rFonts w:hint="eastAsia" w:ascii="仿宋" w:hAnsi="仿宋" w:cs="宋体"/>
                <w:color w:val="000000"/>
                <w:kern w:val="0"/>
                <w:sz w:val="21"/>
                <w:szCs w:val="21"/>
              </w:rPr>
              <w:t>09-11</w:t>
            </w:r>
          </w:p>
        </w:tc>
      </w:tr>
      <w:tr w14:paraId="2642E976">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4F1483C4">
            <w:pPr>
              <w:widowControl/>
              <w:spacing w:line="240" w:lineRule="auto"/>
              <w:ind w:firstLine="0" w:firstLineChars="0"/>
              <w:jc w:val="center"/>
              <w:rPr>
                <w:rFonts w:hint="eastAsia" w:ascii="仿宋" w:hAnsi="仿宋" w:cs="宋体"/>
                <w:b w:val="0"/>
                <w:bCs w:val="0"/>
                <w:color w:val="000000"/>
                <w:kern w:val="0"/>
                <w:sz w:val="21"/>
                <w:szCs w:val="21"/>
              </w:rPr>
            </w:pPr>
            <w:r>
              <w:rPr>
                <w:rFonts w:hint="eastAsia" w:ascii="仿宋" w:hAnsi="仿宋" w:cs="宋体"/>
                <w:b w:val="0"/>
                <w:bCs w:val="0"/>
                <w:color w:val="000000"/>
                <w:kern w:val="0"/>
                <w:sz w:val="21"/>
                <w:szCs w:val="21"/>
              </w:rPr>
              <w:t>绍兴</w:t>
            </w:r>
          </w:p>
        </w:tc>
        <w:tc>
          <w:tcPr>
            <w:tcW w:w="856" w:type="pct"/>
            <w:noWrap/>
            <w:vAlign w:val="center"/>
          </w:tcPr>
          <w:p w14:paraId="610FC434">
            <w:pPr>
              <w:widowControl/>
              <w:spacing w:line="240" w:lineRule="auto"/>
              <w:ind w:firstLine="0" w:firstLineChars="0"/>
              <w:rPr>
                <w:rFonts w:hint="eastAsia" w:ascii="仿宋" w:hAnsi="仿宋" w:cs="宋体"/>
                <w:color w:val="000000"/>
                <w:kern w:val="0"/>
                <w:sz w:val="21"/>
                <w:szCs w:val="21"/>
              </w:rPr>
            </w:pPr>
            <w:r>
              <w:rPr>
                <w:rFonts w:hint="eastAsia" w:ascii="仿宋" w:hAnsi="仿宋" w:cs="宋体"/>
                <w:color w:val="000000"/>
                <w:kern w:val="0"/>
                <w:sz w:val="21"/>
                <w:szCs w:val="21"/>
              </w:rPr>
              <w:t>YC-05G-06地块</w:t>
            </w:r>
          </w:p>
        </w:tc>
        <w:tc>
          <w:tcPr>
            <w:tcW w:w="510" w:type="pct"/>
            <w:noWrap/>
            <w:vAlign w:val="center"/>
          </w:tcPr>
          <w:p w14:paraId="34E6DC1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商办</w:t>
            </w:r>
          </w:p>
        </w:tc>
        <w:tc>
          <w:tcPr>
            <w:tcW w:w="598" w:type="pct"/>
            <w:noWrap/>
            <w:vAlign w:val="center"/>
          </w:tcPr>
          <w:p w14:paraId="1796A9CA">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10,858</w:t>
            </w:r>
          </w:p>
        </w:tc>
        <w:tc>
          <w:tcPr>
            <w:tcW w:w="597" w:type="pct"/>
            <w:noWrap/>
            <w:vAlign w:val="center"/>
          </w:tcPr>
          <w:p w14:paraId="09FC63C8">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16,287</w:t>
            </w:r>
          </w:p>
        </w:tc>
        <w:tc>
          <w:tcPr>
            <w:tcW w:w="683" w:type="pct"/>
            <w:noWrap/>
            <w:vAlign w:val="center"/>
          </w:tcPr>
          <w:p w14:paraId="328CA861">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8,750</w:t>
            </w:r>
          </w:p>
        </w:tc>
        <w:tc>
          <w:tcPr>
            <w:tcW w:w="854" w:type="pct"/>
            <w:noWrap/>
            <w:vAlign w:val="center"/>
          </w:tcPr>
          <w:p w14:paraId="592457F8">
            <w:pPr>
              <w:widowControl/>
              <w:spacing w:line="240" w:lineRule="auto"/>
              <w:ind w:firstLine="0" w:firstLineChars="0"/>
              <w:jc w:val="center"/>
              <w:rPr>
                <w:rFonts w:hint="eastAsia" w:ascii="仿宋" w:hAnsi="仿宋" w:cs="Arial"/>
                <w:kern w:val="0"/>
                <w:sz w:val="21"/>
                <w:szCs w:val="21"/>
              </w:rPr>
            </w:pPr>
            <w:r>
              <w:rPr>
                <w:rFonts w:ascii="仿宋" w:hAnsi="仿宋" w:cs="Arial"/>
                <w:kern w:val="0"/>
                <w:sz w:val="21"/>
                <w:szCs w:val="21"/>
              </w:rPr>
              <w:t>绍兴市地铁物产置业有限公司</w:t>
            </w:r>
          </w:p>
        </w:tc>
        <w:tc>
          <w:tcPr>
            <w:tcW w:w="475" w:type="pct"/>
            <w:noWrap/>
            <w:vAlign w:val="center"/>
          </w:tcPr>
          <w:p w14:paraId="624FB0EA">
            <w:pPr>
              <w:widowControl/>
              <w:spacing w:line="240" w:lineRule="auto"/>
              <w:ind w:firstLine="0" w:firstLineChars="0"/>
              <w:jc w:val="center"/>
              <w:rPr>
                <w:rFonts w:hint="eastAsia" w:ascii="仿宋" w:hAnsi="仿宋" w:cs="宋体"/>
                <w:kern w:val="0"/>
                <w:sz w:val="21"/>
                <w:szCs w:val="21"/>
              </w:rPr>
            </w:pPr>
            <w:r>
              <w:rPr>
                <w:rFonts w:hint="eastAsia" w:ascii="仿宋" w:hAnsi="仿宋" w:cs="宋体"/>
                <w:color w:val="000000"/>
                <w:kern w:val="0"/>
                <w:sz w:val="21"/>
                <w:szCs w:val="21"/>
              </w:rPr>
              <w:t>09-13</w:t>
            </w:r>
          </w:p>
        </w:tc>
      </w:tr>
      <w:tr w14:paraId="13895A91">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53D44EC1">
            <w:pPr>
              <w:widowControl/>
              <w:spacing w:line="240" w:lineRule="auto"/>
              <w:ind w:firstLine="0" w:firstLineChars="0"/>
              <w:jc w:val="center"/>
              <w:rPr>
                <w:rFonts w:hint="eastAsia" w:ascii="仿宋" w:hAnsi="仿宋" w:cs="宋体"/>
                <w:b w:val="0"/>
                <w:bCs w:val="0"/>
                <w:color w:val="000000"/>
                <w:kern w:val="0"/>
                <w:sz w:val="21"/>
                <w:szCs w:val="21"/>
              </w:rPr>
            </w:pPr>
            <w:r>
              <w:rPr>
                <w:rFonts w:hint="eastAsia" w:ascii="仿宋" w:hAnsi="仿宋" w:cs="宋体"/>
                <w:b w:val="0"/>
                <w:bCs w:val="0"/>
                <w:color w:val="000000"/>
                <w:kern w:val="0"/>
                <w:sz w:val="21"/>
                <w:szCs w:val="21"/>
              </w:rPr>
              <w:t>杭州</w:t>
            </w:r>
          </w:p>
        </w:tc>
        <w:tc>
          <w:tcPr>
            <w:tcW w:w="856" w:type="pct"/>
            <w:noWrap/>
            <w:vAlign w:val="center"/>
          </w:tcPr>
          <w:p w14:paraId="12DE2ACB">
            <w:pPr>
              <w:widowControl/>
              <w:spacing w:line="240" w:lineRule="auto"/>
              <w:ind w:firstLine="0" w:firstLineChars="0"/>
              <w:rPr>
                <w:rFonts w:hint="eastAsia" w:ascii="仿宋" w:hAnsi="仿宋" w:cs="宋体"/>
                <w:color w:val="000000"/>
                <w:kern w:val="0"/>
                <w:sz w:val="21"/>
                <w:szCs w:val="21"/>
              </w:rPr>
            </w:pPr>
            <w:r>
              <w:rPr>
                <w:rFonts w:hint="eastAsia" w:ascii="仿宋" w:hAnsi="仿宋" w:cs="宋体"/>
                <w:color w:val="000000"/>
                <w:kern w:val="0"/>
                <w:sz w:val="21"/>
                <w:szCs w:val="21"/>
              </w:rPr>
              <w:t>XH020203-03地块</w:t>
            </w:r>
          </w:p>
        </w:tc>
        <w:tc>
          <w:tcPr>
            <w:tcW w:w="510" w:type="pct"/>
            <w:noWrap/>
            <w:vAlign w:val="center"/>
          </w:tcPr>
          <w:p w14:paraId="701C57B4">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综合</w:t>
            </w:r>
          </w:p>
        </w:tc>
        <w:tc>
          <w:tcPr>
            <w:tcW w:w="598" w:type="pct"/>
            <w:noWrap/>
            <w:vAlign w:val="center"/>
          </w:tcPr>
          <w:p w14:paraId="0A5D89C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60,078</w:t>
            </w:r>
          </w:p>
        </w:tc>
        <w:tc>
          <w:tcPr>
            <w:tcW w:w="597" w:type="pct"/>
            <w:noWrap/>
            <w:vAlign w:val="center"/>
          </w:tcPr>
          <w:p w14:paraId="417C6F97">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150,195</w:t>
            </w:r>
          </w:p>
        </w:tc>
        <w:tc>
          <w:tcPr>
            <w:tcW w:w="683" w:type="pct"/>
            <w:noWrap/>
            <w:vAlign w:val="center"/>
          </w:tcPr>
          <w:p w14:paraId="5DD1BFD5">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145,088</w:t>
            </w:r>
          </w:p>
        </w:tc>
        <w:tc>
          <w:tcPr>
            <w:tcW w:w="854" w:type="pct"/>
            <w:noWrap/>
            <w:vAlign w:val="center"/>
          </w:tcPr>
          <w:p w14:paraId="52B92F43">
            <w:pPr>
              <w:widowControl/>
              <w:spacing w:line="240" w:lineRule="auto"/>
              <w:ind w:firstLine="0" w:firstLineChars="0"/>
              <w:jc w:val="center"/>
              <w:rPr>
                <w:rFonts w:hint="eastAsia" w:ascii="仿宋" w:hAnsi="仿宋" w:cs="Arial"/>
                <w:kern w:val="0"/>
                <w:sz w:val="21"/>
                <w:szCs w:val="21"/>
              </w:rPr>
            </w:pPr>
            <w:r>
              <w:rPr>
                <w:rFonts w:hint="eastAsia" w:ascii="仿宋" w:hAnsi="仿宋" w:cs="Arial"/>
                <w:kern w:val="0"/>
                <w:sz w:val="21"/>
                <w:szCs w:val="21"/>
              </w:rPr>
              <w:t>浙江万科南都房地产有限公司;杭州地铁开发有限公司</w:t>
            </w:r>
          </w:p>
        </w:tc>
        <w:tc>
          <w:tcPr>
            <w:tcW w:w="475" w:type="pct"/>
            <w:noWrap/>
            <w:vAlign w:val="center"/>
          </w:tcPr>
          <w:p w14:paraId="2556F1DC">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kern w:val="0"/>
                <w:sz w:val="21"/>
                <w:szCs w:val="21"/>
              </w:rPr>
              <w:t>09-20</w:t>
            </w:r>
          </w:p>
        </w:tc>
      </w:tr>
      <w:tr w14:paraId="21D3A09A">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53" w:hRule="atLeast"/>
        </w:trPr>
        <w:tc>
          <w:tcPr>
            <w:tcW w:w="427" w:type="pct"/>
            <w:noWrap/>
            <w:vAlign w:val="center"/>
          </w:tcPr>
          <w:p w14:paraId="4A34CD79">
            <w:pPr>
              <w:widowControl/>
              <w:spacing w:line="240" w:lineRule="auto"/>
              <w:ind w:firstLine="0" w:firstLineChars="0"/>
              <w:jc w:val="center"/>
              <w:rPr>
                <w:rFonts w:hint="eastAsia" w:ascii="仿宋" w:hAnsi="仿宋" w:cs="宋体"/>
                <w:b/>
                <w:bCs/>
                <w:color w:val="000000"/>
                <w:kern w:val="0"/>
                <w:sz w:val="21"/>
                <w:szCs w:val="21"/>
              </w:rPr>
            </w:pPr>
            <w:r>
              <w:rPr>
                <w:rFonts w:hint="eastAsia" w:ascii="仿宋" w:hAnsi="仿宋" w:cs="宋体"/>
                <w:b/>
                <w:bCs/>
                <w:color w:val="000000"/>
                <w:kern w:val="0"/>
                <w:sz w:val="21"/>
                <w:szCs w:val="21"/>
              </w:rPr>
              <w:t>合计</w:t>
            </w:r>
          </w:p>
        </w:tc>
        <w:tc>
          <w:tcPr>
            <w:tcW w:w="856" w:type="pct"/>
            <w:noWrap/>
            <w:vAlign w:val="center"/>
          </w:tcPr>
          <w:p w14:paraId="66BB6B94">
            <w:pPr>
              <w:widowControl/>
              <w:spacing w:line="240" w:lineRule="auto"/>
              <w:ind w:firstLine="0" w:firstLineChars="0"/>
              <w:rPr>
                <w:rFonts w:hint="eastAsia" w:ascii="仿宋" w:hAnsi="仿宋" w:cs="宋体"/>
                <w:color w:val="000000"/>
                <w:kern w:val="0"/>
                <w:sz w:val="21"/>
                <w:szCs w:val="21"/>
              </w:rPr>
            </w:pPr>
          </w:p>
        </w:tc>
        <w:tc>
          <w:tcPr>
            <w:tcW w:w="510" w:type="pct"/>
            <w:noWrap/>
            <w:vAlign w:val="center"/>
          </w:tcPr>
          <w:p w14:paraId="3F1AF7B0">
            <w:pPr>
              <w:widowControl/>
              <w:spacing w:line="240" w:lineRule="auto"/>
              <w:ind w:firstLine="0" w:firstLineChars="0"/>
              <w:jc w:val="center"/>
              <w:rPr>
                <w:rFonts w:hint="eastAsia" w:ascii="仿宋" w:hAnsi="仿宋" w:cs="宋体"/>
                <w:color w:val="000000"/>
                <w:kern w:val="0"/>
                <w:sz w:val="21"/>
                <w:szCs w:val="21"/>
              </w:rPr>
            </w:pPr>
          </w:p>
        </w:tc>
        <w:tc>
          <w:tcPr>
            <w:tcW w:w="598" w:type="pct"/>
            <w:noWrap/>
            <w:vAlign w:val="bottom"/>
          </w:tcPr>
          <w:p w14:paraId="089CFC7F">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202,983</w:t>
            </w:r>
          </w:p>
        </w:tc>
        <w:tc>
          <w:tcPr>
            <w:tcW w:w="597" w:type="pct"/>
            <w:noWrap/>
            <w:vAlign w:val="bottom"/>
          </w:tcPr>
          <w:p w14:paraId="098F5AA6">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441,085</w:t>
            </w:r>
          </w:p>
        </w:tc>
        <w:tc>
          <w:tcPr>
            <w:tcW w:w="683" w:type="pct"/>
            <w:noWrap/>
            <w:vAlign w:val="bottom"/>
          </w:tcPr>
          <w:p w14:paraId="5B9542DB">
            <w:pPr>
              <w:widowControl/>
              <w:spacing w:line="240" w:lineRule="auto"/>
              <w:ind w:firstLine="0" w:firstLineChars="0"/>
              <w:jc w:val="center"/>
              <w:rPr>
                <w:rFonts w:hint="eastAsia" w:ascii="仿宋" w:hAnsi="仿宋" w:cs="宋体"/>
                <w:color w:val="000000"/>
                <w:kern w:val="0"/>
                <w:sz w:val="21"/>
                <w:szCs w:val="21"/>
              </w:rPr>
            </w:pPr>
            <w:r>
              <w:rPr>
                <w:rFonts w:hint="eastAsia" w:ascii="仿宋" w:hAnsi="仿宋" w:cs="宋体"/>
                <w:color w:val="000000"/>
                <w:kern w:val="0"/>
                <w:sz w:val="21"/>
                <w:szCs w:val="21"/>
              </w:rPr>
              <w:t>207,226</w:t>
            </w:r>
          </w:p>
        </w:tc>
        <w:tc>
          <w:tcPr>
            <w:tcW w:w="854" w:type="pct"/>
            <w:noWrap/>
            <w:vAlign w:val="center"/>
          </w:tcPr>
          <w:p w14:paraId="0832C060">
            <w:pPr>
              <w:widowControl/>
              <w:spacing w:line="240" w:lineRule="auto"/>
              <w:ind w:firstLine="0" w:firstLineChars="0"/>
              <w:jc w:val="center"/>
              <w:rPr>
                <w:rFonts w:hint="eastAsia" w:ascii="仿宋" w:hAnsi="仿宋" w:cs="Arial"/>
                <w:kern w:val="0"/>
                <w:sz w:val="21"/>
                <w:szCs w:val="21"/>
              </w:rPr>
            </w:pPr>
          </w:p>
        </w:tc>
        <w:tc>
          <w:tcPr>
            <w:tcW w:w="475" w:type="pct"/>
            <w:noWrap/>
            <w:vAlign w:val="center"/>
          </w:tcPr>
          <w:p w14:paraId="1E0ADD2C">
            <w:pPr>
              <w:widowControl/>
              <w:spacing w:line="240" w:lineRule="auto"/>
              <w:ind w:firstLine="0" w:firstLineChars="0"/>
              <w:jc w:val="center"/>
              <w:rPr>
                <w:rFonts w:hint="eastAsia" w:ascii="仿宋" w:hAnsi="仿宋" w:cs="宋体"/>
                <w:kern w:val="0"/>
                <w:sz w:val="21"/>
                <w:szCs w:val="21"/>
              </w:rPr>
            </w:pPr>
          </w:p>
        </w:tc>
      </w:tr>
    </w:tbl>
    <w:p w14:paraId="2E61C8D2">
      <w:pPr>
        <w:pStyle w:val="48"/>
        <w:ind w:firstLine="420"/>
        <w:rPr>
          <w:rFonts w:ascii="仿宋" w:hAnsi="仿宋" w:cs="Arial"/>
          <w:color w:val="222222"/>
          <w:sz w:val="21"/>
          <w:szCs w:val="20"/>
          <w:shd w:val="clear" w:color="auto" w:fill="FFFFFF"/>
          <w:lang w:bidi="ar"/>
        </w:rPr>
      </w:pPr>
      <w:r>
        <w:rPr>
          <w:rFonts w:hint="eastAsia" w:ascii="仿宋" w:hAnsi="仿宋" w:cs="Arial"/>
          <w:color w:val="222222"/>
          <w:sz w:val="21"/>
          <w:szCs w:val="20"/>
          <w:shd w:val="clear" w:color="auto" w:fill="FFFFFF"/>
          <w:lang w:bidi="ar"/>
        </w:rPr>
        <w:t>数据来源：C</w:t>
      </w:r>
      <w:r>
        <w:rPr>
          <w:rFonts w:ascii="仿宋" w:hAnsi="仿宋" w:cs="Arial"/>
          <w:color w:val="222222"/>
          <w:sz w:val="21"/>
          <w:szCs w:val="20"/>
          <w:shd w:val="clear" w:color="auto" w:fill="FFFFFF"/>
          <w:lang w:bidi="ar"/>
        </w:rPr>
        <w:t>RIC</w:t>
      </w:r>
      <w:r>
        <w:rPr>
          <w:rFonts w:hint="eastAsia" w:ascii="仿宋" w:hAnsi="仿宋" w:cs="Arial"/>
          <w:color w:val="222222"/>
          <w:sz w:val="21"/>
          <w:szCs w:val="20"/>
          <w:shd w:val="clear" w:color="auto" w:fill="FFFFFF"/>
          <w:lang w:bidi="ar"/>
        </w:rPr>
        <w:t>、易居研究院</w:t>
      </w:r>
    </w:p>
    <w:p w14:paraId="3956729C">
      <w:pPr>
        <w:pStyle w:val="48"/>
        <w:ind w:firstLine="480"/>
        <w:rPr>
          <w:rFonts w:ascii="仿宋" w:hAnsi="仿宋"/>
          <w:shd w:val="clear" w:color="auto" w:fill="FFFFFF"/>
          <w:lang w:bidi="ar"/>
        </w:rPr>
      </w:pPr>
      <w:r>
        <w:rPr>
          <w:rFonts w:hint="eastAsia" w:ascii="仿宋" w:hAnsi="仿宋"/>
          <w:shd w:val="clear" w:color="auto" w:fill="FFFFFF"/>
          <w:lang w:bidi="ar"/>
        </w:rPr>
        <w:t>9月5日，北京航城兴贤商业管理有限公司以2.35亿元底价成功竞得位于北京大兴区的F3多功能用地，面积达3.25万平方米。该地块靠近铁路，将建设成为交通枢纽一体化项目，规划建筑规模4.21万平方米，其中自持面积5500平方米，自持年限达土地出让最高年限。项目要求竞得人深化设计方案，并开发地下共构部分，与铁路站房工程同步建设。此次地块的成功出让，标志着大兴区交通枢纽建设及区域经济发展的新进展。</w:t>
      </w:r>
    </w:p>
    <w:p w14:paraId="3B575515">
      <w:pPr>
        <w:pStyle w:val="48"/>
        <w:ind w:firstLine="480"/>
        <w:rPr>
          <w:rFonts w:ascii="仿宋" w:hAnsi="仿宋"/>
          <w:shd w:val="clear" w:color="auto" w:fill="FFFFFF"/>
          <w:lang w:bidi="ar"/>
        </w:rPr>
      </w:pPr>
      <w:r>
        <w:rPr>
          <w:rFonts w:hint="eastAsia" w:ascii="仿宋" w:hAnsi="仿宋"/>
          <w:shd w:val="clear" w:color="auto" w:fill="FFFFFF"/>
          <w:lang w:bidi="ar"/>
        </w:rPr>
        <w:t>9月13日，绍兴地铁物产公司竞得越城区YC-05G-06地块。该地块总占地面积约1.09万平方米，总建筑面积约2.15万平方米，项目总投资约6亿元，预计今年年底动工。其中，地上建筑将分为三层，主要布局地铁精品商业、高品质生活零售店铺及文创休闲空间，致力于打造一个集传统与现代、文化与创新于一体的特色文化商业街区。项目紧邻1号线与4号线换乘站城市广场站，地块内将保留1号线出入口、风亭，预留4号线出入口等地铁空间设施。</w:t>
      </w:r>
    </w:p>
    <w:p w14:paraId="3C7A40F2">
      <w:pPr>
        <w:pStyle w:val="48"/>
        <w:ind w:firstLine="480"/>
        <w:rPr>
          <w:rFonts w:ascii="仿宋" w:hAnsi="仿宋"/>
          <w:shd w:val="clear" w:color="auto" w:fill="FFFFFF"/>
          <w:lang w:bidi="ar"/>
        </w:rPr>
      </w:pPr>
      <w:r>
        <w:rPr>
          <w:rFonts w:hint="eastAsia" w:ascii="仿宋" w:hAnsi="仿宋"/>
          <w:shd w:val="clear" w:color="auto" w:fill="FFFFFF"/>
          <w:lang w:bidi="ar"/>
        </w:rPr>
        <w:t>9月20日，万科联合杭州地铁以14.5亿元拿下西湖大学TOD地块。该地块位于西湖大学对面，总体量有15万方，其中商业占比30%，商业商务建筑将沿墩余路布置，并在墩余路与荆大路交叉口处设置一级地标，以塔楼形式呈现，为地块至高点。住宅占比70%，新房限价28000元/㎡。作为西湖大学TOD地块，未来这里将与地铁4号线西湖大学站的上盖建筑紧密相连，更有地下通道无缝连接地铁站，打造出行无忧的立体交通网络。</w:t>
      </w:r>
    </w:p>
    <w:p w14:paraId="3B6CA62D">
      <w:pPr>
        <w:pStyle w:val="2"/>
        <w:numPr>
          <w:ilvl w:val="0"/>
          <w:numId w:val="4"/>
        </w:numPr>
        <w:rPr>
          <w:rFonts w:hint="eastAsia" w:ascii="仿宋" w:hAnsi="仿宋" w:cs="Arial"/>
          <w:color w:val="000000" w:themeColor="text1"/>
          <w:szCs w:val="28"/>
          <w:shd w:val="clear" w:color="auto" w:fill="FFFFFF"/>
          <w14:textFill>
            <w14:solidFill>
              <w14:schemeClr w14:val="tx1"/>
            </w14:solidFill>
          </w14:textFill>
        </w:rPr>
      </w:pPr>
      <w:bookmarkStart w:id="33" w:name="_Toc179548840"/>
      <w:r>
        <w:rPr>
          <w:rFonts w:hint="eastAsia" w:ascii="仿宋" w:hAnsi="仿宋"/>
        </w:rPr>
        <w:t>青岛地铁与中国十七冶集团签署合作协议共同投资青岛北站TOD一号工程</w:t>
      </w:r>
      <w:bookmarkEnd w:id="33"/>
    </w:p>
    <w:p w14:paraId="522FE0F1">
      <w:pPr>
        <w:pStyle w:val="48"/>
        <w:ind w:firstLine="480"/>
        <w:rPr>
          <w:rFonts w:hint="eastAsia" w:ascii="仿宋" w:hAnsi="仿宋"/>
        </w:rPr>
      </w:pPr>
      <w:r>
        <w:rPr>
          <w:rFonts w:hint="eastAsia" w:ascii="仿宋" w:hAnsi="仿宋"/>
        </w:rPr>
        <w:t>9月4日，青岛地铁集团与中国十七冶集团签署了合作协议。根据协议，双方将青岛北站TOD一号工程开展投资合作，力争在3—5年培育一家具备一定规模、成长性的一流投资建设运营企业。据悉，双方将以北站东广场商务组团为合作起点，先期启动超极合生汇项目、华住酒店项目、国棉六厂城市更新项目等多个领域，放大“资源+投资+产业”综合效应，全面助力青岛北站及周边区域建设发展。与以往的TOD项目相比，该项目开发建设理念实现了全新嬗变，更注重全局性、系统性，并构建“地下轨道交通+地面智慧交通+空中无人机”三维一体的全空间无人体系，充分发挥TOD综合开发优势，实现站城融合发展格局。</w:t>
      </w:r>
    </w:p>
    <w:p w14:paraId="32D66752">
      <w:pPr>
        <w:pStyle w:val="2"/>
        <w:numPr>
          <w:ilvl w:val="0"/>
          <w:numId w:val="4"/>
        </w:numPr>
        <w:rPr>
          <w:rFonts w:hint="eastAsia" w:ascii="仿宋" w:hAnsi="仿宋"/>
          <w:shd w:val="clear" w:color="auto" w:fill="FFFFFF"/>
          <w:lang w:bidi="ar"/>
        </w:rPr>
      </w:pPr>
      <w:bookmarkStart w:id="34" w:name="_Toc179548841"/>
      <w:r>
        <w:rPr>
          <w:rFonts w:hint="eastAsia" w:ascii="仿宋" w:hAnsi="仿宋"/>
          <w:shd w:val="clear" w:color="auto" w:fill="FFFFFF"/>
          <w:lang w:bidi="ar"/>
        </w:rPr>
        <w:t>广州地铁设计研究院与中建四局投资发展公司签订战略合作框架协议</w:t>
      </w:r>
      <w:bookmarkEnd w:id="34"/>
    </w:p>
    <w:p w14:paraId="66468B7B">
      <w:pPr>
        <w:pStyle w:val="48"/>
        <w:ind w:firstLine="480"/>
        <w:rPr>
          <w:rFonts w:ascii="仿宋" w:hAnsi="仿宋"/>
        </w:rPr>
      </w:pPr>
      <w:r>
        <w:rPr>
          <w:rFonts w:ascii="仿宋" w:hAnsi="仿宋"/>
        </w:rPr>
        <w:t>9月5日，广州地铁设计研究院股份有限公司（SZ.003013）与中建四局投资发展公司举行战略合作框架协议签订仪式。双方将基于各自优势及资源，在新能源光伏、生态环保EOD项目、货运铁路设计、城市综合TOD开发等领域开展深入合作，开启强强联手，聚力共赢的新征程</w:t>
      </w:r>
      <w:r>
        <w:rPr>
          <w:rFonts w:hint="eastAsia" w:ascii="仿宋" w:hAnsi="仿宋"/>
        </w:rPr>
        <w:t>。</w:t>
      </w:r>
    </w:p>
    <w:p w14:paraId="0E821B4A">
      <w:pPr>
        <w:pStyle w:val="2"/>
        <w:numPr>
          <w:ilvl w:val="0"/>
          <w:numId w:val="4"/>
        </w:numPr>
        <w:rPr>
          <w:rFonts w:hint="eastAsia" w:ascii="仿宋" w:hAnsi="仿宋"/>
          <w:shd w:val="clear" w:color="auto" w:fill="FFFFFF"/>
          <w:lang w:bidi="ar"/>
        </w:rPr>
      </w:pPr>
      <w:bookmarkStart w:id="35" w:name="_Toc179548842"/>
      <w:bookmarkStart w:id="36" w:name="_Hlk179544912"/>
      <w:r>
        <w:rPr>
          <w:rFonts w:hint="eastAsia" w:ascii="仿宋" w:hAnsi="仿宋"/>
          <w:shd w:val="clear" w:color="auto" w:fill="FFFFFF"/>
          <w:lang w:bidi="ar"/>
        </w:rPr>
        <w:t>广州市城市规划设计公司申请地铁车辆段上盖开发宜居适宜性评估专利</w:t>
      </w:r>
      <w:bookmarkEnd w:id="35"/>
    </w:p>
    <w:bookmarkEnd w:id="36"/>
    <w:p w14:paraId="34E69F82">
      <w:pPr>
        <w:pStyle w:val="48"/>
        <w:ind w:firstLine="480"/>
        <w:rPr>
          <w:rFonts w:hint="eastAsia" w:ascii="仿宋" w:hAnsi="仿宋"/>
          <w:shd w:val="clear" w:color="auto" w:fill="FFFFFF"/>
          <w:lang w:bidi="ar"/>
        </w:rPr>
      </w:pPr>
      <w:r>
        <w:rPr>
          <w:rFonts w:hint="eastAsia" w:ascii="仿宋" w:hAnsi="仿宋"/>
          <w:shd w:val="clear" w:color="auto" w:fill="FFFFFF"/>
          <w:lang w:bidi="ar"/>
        </w:rPr>
        <w:t>9月26日消息，国家知识产权局信息显示，广州市城市规划设计有限公司申请一项名为“一种轨道交通车辆段上盖开发宜居适宜性的评估方法及系统”的专利。</w:t>
      </w:r>
      <w:r>
        <w:rPr>
          <w:rFonts w:ascii="仿宋" w:hAnsi="仿宋"/>
          <w:shd w:val="clear" w:color="auto" w:fill="FFFFFF"/>
          <w:lang w:bidi="ar"/>
        </w:rPr>
        <w:t>专利摘要显示，本发明公开了一种轨道交通车辆段上盖开发宜居适宜性的评估方法及系统，本发明的评估方法在现有的节点</w:t>
      </w:r>
      <w:r>
        <w:rPr>
          <w:rFonts w:ascii="仿宋" w:hAnsi="仿宋"/>
          <w:shd w:val="clear" w:color="auto" w:fill="FFFFFF"/>
          <w:lang w:bidi="ar"/>
        </w:rPr>
        <w:noBreakHyphen/>
      </w:r>
      <w:r>
        <w:rPr>
          <w:rFonts w:ascii="仿宋" w:hAnsi="仿宋"/>
          <w:shd w:val="clear" w:color="auto" w:fill="FFFFFF"/>
          <w:lang w:bidi="ar"/>
        </w:rPr>
        <w:t>场所模型基础上进行改进，将车辆段的周边环境作为一个单独维度，表征车辆段的区域用地的环境质量，从节点价值、场所价值、客流价值环境价值3方面对车辆段周边区域的土地利用、交通情况、环境质量的宜居适宜性进行综合性评价。本发明实现对车辆段的上盖开发宜居适宜性进行评估分级，</w:t>
      </w:r>
      <w:bookmarkStart w:id="37" w:name="_Hlk179545009"/>
      <w:r>
        <w:rPr>
          <w:rFonts w:ascii="仿宋" w:hAnsi="仿宋"/>
          <w:shd w:val="clear" w:color="auto" w:fill="FFFFFF"/>
          <w:lang w:bidi="ar"/>
        </w:rPr>
        <w:t>为车辆段区域的后续发展、上盖开发规划提供科学的依据和分析评估工具。</w:t>
      </w:r>
    </w:p>
    <w:bookmarkEnd w:id="37"/>
    <w:p w14:paraId="684FFAF3">
      <w:pPr>
        <w:pStyle w:val="2"/>
        <w:numPr>
          <w:ilvl w:val="0"/>
          <w:numId w:val="4"/>
        </w:numPr>
        <w:rPr>
          <w:rFonts w:hint="eastAsia" w:ascii="仿宋" w:hAnsi="仿宋"/>
          <w:shd w:val="clear" w:color="auto" w:fill="FFFFFF"/>
          <w:lang w:bidi="ar"/>
        </w:rPr>
      </w:pPr>
      <w:r>
        <w:rPr>
          <w:rFonts w:ascii="仿宋" w:hAnsi="仿宋"/>
        </w:rPr>
        <w:fldChar w:fldCharType="begin"/>
      </w:r>
      <w:r>
        <w:rPr>
          <w:rFonts w:ascii="仿宋" w:hAnsi="仿宋"/>
        </w:rPr>
        <w:instrText xml:space="preserve">HYPERLINK "https://www.baidu.com/link?url=3IwqrXGZwuHuFH7WIu6X0PP4xmZmLUuBPH_4JDkDqFIpb0lUrTrO7DQoFrGxxcUF1foWKnCujHl8mtndEchcnp8vHkxSff0wgVwoQc935A7&amp;wd=&amp;eqid=ff20ce16004a527b0000000266dfa831" \t "https://www.baidu.com/_blank"</w:instrText>
      </w:r>
      <w:r>
        <w:rPr>
          <w:rFonts w:hint="eastAsia" w:ascii="仿宋" w:hAnsi="仿宋"/>
        </w:rPr>
        <w:fldChar w:fldCharType="separate"/>
      </w:r>
      <w:bookmarkStart w:id="38" w:name="_Toc179548843"/>
      <w:r>
        <w:rPr>
          <w:rFonts w:ascii="仿宋" w:hAnsi="仿宋"/>
          <w:shd w:val="clear" w:color="auto" w:fill="FFFFFF"/>
          <w:lang w:bidi="ar"/>
        </w:rPr>
        <w:t>深铁集团上半年转亏近38亿</w:t>
      </w:r>
      <w:r>
        <w:rPr>
          <w:rFonts w:hint="eastAsia" w:ascii="仿宋" w:hAnsi="仿宋"/>
          <w:shd w:val="clear" w:color="auto" w:fill="FFFFFF"/>
          <w:lang w:bidi="ar"/>
        </w:rPr>
        <w:t>元</w:t>
      </w:r>
      <w:bookmarkEnd w:id="38"/>
      <w:r>
        <w:rPr>
          <w:rFonts w:ascii="仿宋" w:hAnsi="仿宋"/>
          <w:shd w:val="clear" w:color="auto" w:fill="FFFFFF"/>
          <w:lang w:bidi="ar"/>
        </w:rPr>
        <w:fldChar w:fldCharType="end"/>
      </w:r>
    </w:p>
    <w:p w14:paraId="3329B1A2">
      <w:pPr>
        <w:pStyle w:val="48"/>
        <w:ind w:firstLine="480"/>
        <w:rPr>
          <w:rFonts w:ascii="仿宋" w:hAnsi="仿宋"/>
          <w:shd w:val="clear" w:color="auto" w:fill="FFFFFF"/>
          <w:lang w:bidi="ar"/>
        </w:rPr>
      </w:pPr>
      <w:r>
        <w:rPr>
          <w:rFonts w:hint="eastAsia" w:ascii="仿宋" w:hAnsi="仿宋"/>
          <w:shd w:val="clear" w:color="auto" w:fill="FFFFFF"/>
          <w:lang w:bidi="ar"/>
        </w:rPr>
        <w:t>9月7日，深圳地铁集团有限公司（简称“深铁集团”）披露了2024年半年报。上半年，深铁集团营业收入92.99亿元，同比上涨50.95%；归母净利润出现10年来首次亏损，亏损达37.93亿元。截至6月末，深铁集团资产总计7424.63亿元，负债合计4199.97亿元，资产负债率为56.57%，较上年末略有提升。地产相关业务方面，上半年，深铁集团站城开发业务成本28.19亿元，利润11.87亿元，毛利率为36.32%，主要系成本结转结构调整因素。</w:t>
      </w:r>
    </w:p>
    <w:p w14:paraId="4AC18229">
      <w:pPr>
        <w:pStyle w:val="2"/>
        <w:numPr>
          <w:ilvl w:val="0"/>
          <w:numId w:val="4"/>
        </w:numPr>
        <w:rPr>
          <w:rFonts w:hint="eastAsia" w:ascii="仿宋" w:hAnsi="仿宋"/>
          <w:shd w:val="clear" w:color="auto" w:fill="FFFFFF"/>
          <w:lang w:bidi="ar"/>
        </w:rPr>
      </w:pPr>
      <w:bookmarkStart w:id="39" w:name="_Toc179548844"/>
      <w:r>
        <w:rPr>
          <w:rFonts w:hint="eastAsia" w:ascii="仿宋" w:hAnsi="仿宋"/>
          <w:shd w:val="clear" w:color="auto" w:fill="FFFFFF"/>
          <w:lang w:bidi="ar"/>
        </w:rPr>
        <w:t>武汉地铁三大TOD商业体项目相继开业</w:t>
      </w:r>
      <w:bookmarkEnd w:id="39"/>
    </w:p>
    <w:p w14:paraId="7CAB4E9C">
      <w:pPr>
        <w:pStyle w:val="48"/>
        <w:ind w:firstLine="480"/>
        <w:rPr>
          <w:rFonts w:ascii="仿宋" w:hAnsi="仿宋"/>
          <w:shd w:val="clear" w:color="auto" w:fill="FFFFFF"/>
          <w:lang w:bidi="ar"/>
        </w:rPr>
      </w:pPr>
      <w:r>
        <w:rPr>
          <w:rFonts w:hint="eastAsia" w:ascii="仿宋" w:hAnsi="仿宋"/>
          <w:shd w:val="clear" w:color="auto" w:fill="FFFFFF"/>
          <w:lang w:bidi="ar"/>
        </w:rPr>
        <w:t>9月27日、28日，武汉地铁三大TOD商业体项目相继开业，三大项目聚焦武汉地铁“生态、智慧、幸福”理念，进一步提升武汉市民消费体验便捷度，提升市民获得感、幸福感。佛祖岭友邻天地项目无缝对接2号线佛祖岭站，站厅上盖3层商业建筑。赵家条印象里与地铁3、8号线赵家条站无缝连接，包括1栋43层写字楼及商务酒店、6层裙楼商业，首创“高端宴请+休闲娱乐”的招商组合，立足生活品质提升，填补了江岸区“地铁+商业”版图的空白。三阳路项目紧邻地铁1、7号线换乘站三阳路站，规划有1栋46层甲级写字楼、二期1栋45层写字楼及星级酒店，6层裙楼商业。</w:t>
      </w:r>
    </w:p>
    <w:p w14:paraId="6C6256C2">
      <w:pPr>
        <w:pStyle w:val="2"/>
        <w:numPr>
          <w:ilvl w:val="0"/>
          <w:numId w:val="4"/>
        </w:numPr>
        <w:rPr>
          <w:rFonts w:hint="eastAsia" w:ascii="仿宋" w:hAnsi="仿宋"/>
          <w:shd w:val="clear" w:color="auto" w:fill="FFFFFF"/>
          <w:lang w:bidi="ar"/>
        </w:rPr>
      </w:pPr>
      <w:bookmarkStart w:id="40" w:name="_Toc179548845"/>
      <w:r>
        <w:rPr>
          <w:rFonts w:hint="eastAsia" w:ascii="仿宋" w:hAnsi="仿宋"/>
          <w:shd w:val="clear" w:color="auto" w:fill="FFFFFF"/>
          <w:lang w:bidi="ar"/>
        </w:rPr>
        <w:t>昆明地铁19个商业开发项目招商引资</w:t>
      </w:r>
      <w:bookmarkEnd w:id="40"/>
    </w:p>
    <w:p w14:paraId="13A74764">
      <w:pPr>
        <w:pStyle w:val="48"/>
        <w:ind w:firstLine="480"/>
        <w:rPr>
          <w:rFonts w:ascii="仿宋" w:hAnsi="仿宋"/>
          <w:shd w:val="clear" w:color="auto" w:fill="FFFFFF"/>
          <w:lang w:bidi="ar"/>
        </w:rPr>
      </w:pPr>
      <w:r>
        <w:rPr>
          <w:rFonts w:hint="eastAsia" w:ascii="仿宋" w:hAnsi="仿宋"/>
          <w:shd w:val="clear" w:color="auto" w:fill="FFFFFF"/>
          <w:lang w:bidi="ar"/>
        </w:rPr>
        <w:t>9月29日，昆明地铁2024年第二届商业开发招商引资推介会在线网控制中心成功举办，本次推介会共推出“昆明地铁线网控制中心办公用房招租”“轨道交通场站TOD项目”“开发项目配套物业”、片区开发“土地+房产”四个板块19个商业开发项目，吸引35家企业50余名嘉宾了解昆明地铁优质资源，共同合作，构建发展新蓝图。本次推介会在经营方式上作了创新，增加了合作经营、委托经营等方式，使资源经营更贴近市场调控机制，让更多投资者进一步了解昆明地铁资源，利于在更广泛领域开展合作。</w:t>
      </w:r>
    </w:p>
    <w:p w14:paraId="14EEAE9C">
      <w:pPr>
        <w:pStyle w:val="2"/>
        <w:numPr>
          <w:ilvl w:val="0"/>
          <w:numId w:val="4"/>
        </w:numPr>
        <w:rPr>
          <w:rFonts w:hint="eastAsia" w:ascii="仿宋" w:hAnsi="仿宋"/>
          <w:shd w:val="clear" w:color="auto" w:fill="FFFFFF"/>
          <w:lang w:bidi="ar"/>
        </w:rPr>
      </w:pPr>
      <w:bookmarkStart w:id="41" w:name="_Toc179548846"/>
      <w:r>
        <w:rPr>
          <w:rFonts w:hint="eastAsia" w:ascii="仿宋" w:hAnsi="仿宋"/>
          <w:shd w:val="clear" w:color="auto" w:fill="FFFFFF"/>
          <w:lang w:bidi="ar"/>
        </w:rPr>
        <w:t>远洋建管与武汉地铁签署江岸区地铁上盖项目代建协议</w:t>
      </w:r>
      <w:bookmarkEnd w:id="41"/>
    </w:p>
    <w:p w14:paraId="639F2BDB">
      <w:pPr>
        <w:pStyle w:val="48"/>
        <w:ind w:firstLine="480"/>
        <w:rPr>
          <w:rFonts w:hint="eastAsia" w:ascii="仿宋" w:hAnsi="仿宋"/>
          <w:shd w:val="clear" w:color="auto" w:fill="FFFFFF"/>
          <w:lang w:bidi="ar"/>
        </w:rPr>
      </w:pPr>
      <w:r>
        <w:rPr>
          <w:rFonts w:hint="eastAsia" w:ascii="仿宋" w:hAnsi="仿宋"/>
          <w:shd w:val="clear" w:color="auto" w:fill="FFFFFF"/>
          <w:lang w:bidi="ar"/>
        </w:rPr>
        <w:t>9月29日，远洋建管与武汉地铁迅运置业有限公司签署武汉市江岸区P(2022)123号地块代建服务协议，为委托方提供项目报批报建、规划设计、工程管理、销售管理、交付管理、前期物业管理等项目开发全过程委托管理服务。此次合作项目为地铁上盖项目，位于江岸区三阳路与解放大道交汇处，占地面积7761平方米，总建筑面积约5.7万平方米，囊括住宅、商业、办公等多种业态。</w:t>
      </w:r>
    </w:p>
    <w:p w14:paraId="0F01C36A">
      <w:pPr>
        <w:pStyle w:val="48"/>
        <w:ind w:firstLine="480"/>
        <w:rPr>
          <w:shd w:val="clear" w:color="auto" w:fill="FFFFFF"/>
          <w:lang w:bidi="ar"/>
        </w:rPr>
      </w:pPr>
    </w:p>
    <w:bookmarkEnd w:id="32"/>
    <w:p w14:paraId="2B8A1E5F">
      <w:pPr>
        <w:ind w:firstLine="480"/>
        <w:rPr>
          <w:rFonts w:hint="eastAsia" w:ascii="仿宋" w:hAnsi="仿宋"/>
        </w:rPr>
        <w:sectPr>
          <w:pgSz w:w="11906" w:h="16838"/>
          <w:pgMar w:top="1440" w:right="1800" w:bottom="1440" w:left="1800" w:header="1474" w:footer="964" w:gutter="0"/>
          <w:cols w:space="425" w:num="1"/>
          <w:docGrid w:type="lines" w:linePitch="326" w:charSpace="0"/>
        </w:sectPr>
      </w:pPr>
    </w:p>
    <w:p w14:paraId="5D05CBF1">
      <w:pPr>
        <w:pStyle w:val="2"/>
        <w:keepLines/>
        <w:widowControl w:val="0"/>
        <w:spacing w:before="163" w:after="163"/>
        <w:ind w:firstLine="562"/>
        <w:jc w:val="center"/>
        <w:rPr>
          <w:rFonts w:hint="eastAsia" w:ascii="黑体" w:hAnsi="黑体" w:eastAsia="黑体" w:cs="Times New Roman"/>
          <w:color w:val="5B9BD5" w:themeColor="accent5"/>
          <w:kern w:val="44"/>
          <w:sz w:val="28"/>
          <w14:textFill>
            <w14:solidFill>
              <w14:schemeClr w14:val="accent5"/>
            </w14:solidFill>
          </w14:textFill>
        </w:rPr>
      </w:pPr>
      <w:bookmarkStart w:id="42" w:name="_Toc179548847"/>
      <w:r>
        <w:rPr>
          <w:rFonts w:hint="eastAsia" w:ascii="黑体" w:hAnsi="黑体" w:eastAsia="黑体" w:cs="Times New Roman"/>
          <w:color w:val="5B9BD5" w:themeColor="accent5"/>
          <w:kern w:val="44"/>
          <w:sz w:val="28"/>
          <w14:textFill>
            <w14:solidFill>
              <w14:schemeClr w14:val="accent5"/>
            </w14:solidFill>
          </w14:textFill>
        </w:rPr>
        <w:t>四</w:t>
      </w:r>
      <w:r>
        <w:rPr>
          <w:rFonts w:ascii="黑体" w:hAnsi="黑体" w:eastAsia="黑体" w:cs="Times New Roman"/>
          <w:color w:val="5B9BD5" w:themeColor="accent5"/>
          <w:kern w:val="44"/>
          <w:sz w:val="28"/>
          <w14:textFill>
            <w14:solidFill>
              <w14:schemeClr w14:val="accent5"/>
            </w14:solidFill>
          </w14:textFill>
        </w:rPr>
        <w:t>、项目动态</w:t>
      </w:r>
      <w:bookmarkEnd w:id="42"/>
    </w:p>
    <w:p w14:paraId="6875F434">
      <w:pPr>
        <w:pStyle w:val="2"/>
        <w:numPr>
          <w:ilvl w:val="0"/>
          <w:numId w:val="5"/>
        </w:numPr>
        <w:rPr>
          <w:rFonts w:hint="eastAsia" w:ascii="仿宋" w:hAnsi="仿宋"/>
          <w:shd w:val="clear" w:color="auto" w:fill="FFFFFF"/>
          <w:lang w:bidi="ar"/>
        </w:rPr>
      </w:pPr>
      <w:bookmarkStart w:id="43" w:name="_Toc179548848"/>
      <w:r>
        <w:rPr>
          <w:rFonts w:hint="eastAsia" w:ascii="仿宋" w:hAnsi="仿宋"/>
          <w:shd w:val="clear" w:color="auto" w:fill="FFFFFF"/>
          <w:lang w:bidi="ar"/>
        </w:rPr>
        <w:t>北京</w:t>
      </w:r>
      <w:r>
        <w:rPr>
          <w:rFonts w:ascii="仿宋" w:hAnsi="仿宋"/>
          <w:shd w:val="clear" w:color="auto" w:fill="FFFFFF"/>
          <w:lang w:bidi="ar"/>
        </w:rPr>
        <w:t>城际铁路联络线一期工程礼贤站TOD项目将打造成为“轨道微中心”</w:t>
      </w:r>
      <w:bookmarkEnd w:id="43"/>
    </w:p>
    <w:p w14:paraId="08574CC2">
      <w:pPr>
        <w:pStyle w:val="48"/>
        <w:ind w:firstLine="0" w:firstLineChars="0"/>
        <w:rPr>
          <w:rFonts w:hint="eastAsia" w:ascii="仿宋" w:hAnsi="仿宋"/>
          <w:shd w:val="clear" w:color="auto" w:fill="FFFFFF"/>
          <w:lang w:bidi="ar"/>
        </w:rPr>
      </w:pPr>
      <w:r>
        <w:rPr>
          <w:rFonts w:hint="eastAsia" w:ascii="仿宋" w:hAnsi="仿宋"/>
        </w:rPr>
        <w:drawing>
          <wp:anchor distT="0" distB="0" distL="114300" distR="114300" simplePos="0" relativeHeight="251666432" behindDoc="0" locked="0" layoutInCell="1" allowOverlap="1">
            <wp:simplePos x="0" y="0"/>
            <wp:positionH relativeFrom="column">
              <wp:posOffset>0</wp:posOffset>
            </wp:positionH>
            <wp:positionV relativeFrom="paragraph">
              <wp:posOffset>56515</wp:posOffset>
            </wp:positionV>
            <wp:extent cx="2343150" cy="1439545"/>
            <wp:effectExtent l="0" t="0" r="0" b="8255"/>
            <wp:wrapSquare wrapText="bothSides"/>
            <wp:docPr id="7276783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8382"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43150" cy="1439545"/>
                    </a:xfrm>
                    <a:prstGeom prst="rect">
                      <a:avLst/>
                    </a:prstGeom>
                    <a:noFill/>
                  </pic:spPr>
                </pic:pic>
              </a:graphicData>
            </a:graphic>
          </wp:anchor>
        </w:drawing>
      </w:r>
      <w:r>
        <w:rPr>
          <w:rFonts w:hint="eastAsia" w:ascii="仿宋" w:hAnsi="仿宋"/>
          <w:shd w:val="clear" w:color="auto" w:fill="FFFFFF"/>
          <w:lang w:bidi="ar"/>
        </w:rPr>
        <w:t>北京</w:t>
      </w:r>
      <w:r>
        <w:rPr>
          <w:rFonts w:ascii="仿宋" w:hAnsi="仿宋"/>
          <w:shd w:val="clear" w:color="auto" w:fill="FFFFFF"/>
          <w:lang w:bidi="ar"/>
        </w:rPr>
        <w:t>城际铁路联络线一期工程礼贤站TOD项目由北京新航城控股有限公司、北京建工集团有限公司及京津冀城际铁路投资有限公司三方共同出资建设，是北京大兴国际机场综合交通网络中城际铁路（怀兴城际）、地铁快线（M20）的换乘站，已于2020年被纳入北京市第一批“轨道微中心”。项目将建设成为地下三层、地上一体化开发的地下车站。其中，地下站房建筑规模约4.3万平方米，地上建筑规模约4.2万平方米，将打造“城市客厅”型枢纽中心，提供商业、办公、停车等第二候车空间，缓解国际会展中心及消费枢纽的瞬时客流量大的压力，提升旅客进出站体验。项目地上一体化建设预计2025年1月份开工，2027年完工投用。</w:t>
      </w:r>
    </w:p>
    <w:p w14:paraId="6B52EC29">
      <w:pPr>
        <w:pStyle w:val="2"/>
        <w:numPr>
          <w:ilvl w:val="0"/>
          <w:numId w:val="5"/>
        </w:numPr>
        <w:rPr>
          <w:rFonts w:hint="eastAsia" w:ascii="仿宋" w:hAnsi="仿宋"/>
          <w:shd w:val="clear" w:color="auto" w:fill="FFFFFF"/>
          <w:lang w:bidi="ar"/>
        </w:rPr>
      </w:pPr>
      <w:bookmarkStart w:id="44" w:name="_Toc179548849"/>
      <w:r>
        <w:rPr>
          <w:rFonts w:hint="eastAsia" w:ascii="仿宋" w:hAnsi="仿宋"/>
          <w:shd w:val="clear" w:color="auto" w:fill="FFFFFF"/>
          <w:lang w:bidi="ar"/>
        </w:rPr>
        <w:t>北京市通州区张家湾车辆段项目上盖小镇主体结构封顶</w:t>
      </w:r>
      <w:bookmarkEnd w:id="44"/>
    </w:p>
    <w:p w14:paraId="673ADDB9">
      <w:pPr>
        <w:pStyle w:val="48"/>
        <w:ind w:firstLine="0" w:firstLineChars="0"/>
        <w:rPr>
          <w:rFonts w:ascii="仿宋" w:hAnsi="仿宋"/>
          <w:shd w:val="clear" w:color="auto" w:fill="FFFFFF"/>
          <w:lang w:bidi="ar"/>
        </w:rPr>
      </w:pPr>
      <w:r>
        <w:rPr>
          <w:rFonts w:hint="eastAsia"/>
        </w:rPr>
        <w:drawing>
          <wp:anchor distT="0" distB="0" distL="114300" distR="114300" simplePos="0" relativeHeight="251678720" behindDoc="0" locked="0" layoutInCell="1" allowOverlap="1">
            <wp:simplePos x="0" y="0"/>
            <wp:positionH relativeFrom="column">
              <wp:posOffset>0</wp:posOffset>
            </wp:positionH>
            <wp:positionV relativeFrom="paragraph">
              <wp:posOffset>60325</wp:posOffset>
            </wp:positionV>
            <wp:extent cx="2317750" cy="1439545"/>
            <wp:effectExtent l="0" t="0" r="6350" b="8255"/>
            <wp:wrapSquare wrapText="bothSides"/>
            <wp:docPr id="14712982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98255" name="图片 22"/>
                    <pic:cNvPicPr>
                      <a:picLocks noChangeAspect="1" noChangeArrowheads="1"/>
                    </pic:cNvPicPr>
                  </pic:nvPicPr>
                  <pic:blipFill>
                    <a:blip r:embed="rId16" cstate="print">
                      <a:extLst>
                        <a:ext uri="{28A0092B-C50C-407E-A947-70E740481C1C}">
                          <a14:useLocalDpi xmlns:a14="http://schemas.microsoft.com/office/drawing/2010/main" val="0"/>
                        </a:ext>
                      </a:extLst>
                    </a:blip>
                    <a:srcRect b="9399"/>
                    <a:stretch>
                      <a:fillRect/>
                    </a:stretch>
                  </pic:blipFill>
                  <pic:spPr>
                    <a:xfrm>
                      <a:off x="0" y="0"/>
                      <a:ext cx="2317750" cy="1439545"/>
                    </a:xfrm>
                    <a:prstGeom prst="rect">
                      <a:avLst/>
                    </a:prstGeom>
                    <a:noFill/>
                    <a:ln>
                      <a:noFill/>
                    </a:ln>
                  </pic:spPr>
                </pic:pic>
              </a:graphicData>
            </a:graphic>
          </wp:anchor>
        </w:drawing>
      </w:r>
      <w:r>
        <w:rPr>
          <w:rFonts w:hint="eastAsia" w:ascii="仿宋" w:hAnsi="仿宋"/>
          <w:shd w:val="clear" w:color="auto" w:fill="FFFFFF"/>
          <w:lang w:bidi="ar"/>
        </w:rPr>
        <w:t>9月25日，随着最后一根钢梁吊装完成，张家湾车辆段综合利用供地项目上盖小镇工程主体结构实现全面封顶，标志着项目建设取得阶段性胜利。张家湾车辆段综合利用供地项目是城市副中心首宗地铁上盖一体化开发项目，包含酒店、奥特莱斯商场和上盖小镇三部分。其中，上盖小镇是张家湾车辆段综合利用供地项目体量最大的标段，包含72栋单体建筑，总建筑面积180423.93平方米，地上建筑面积100000平方米。建成后，将成为集餐饮、购物、休息、办公等主要功能为一体的商业综合建筑群体，可有效承接环球度假区的外溢效应。</w:t>
      </w:r>
    </w:p>
    <w:p w14:paraId="6D4F9484">
      <w:pPr>
        <w:pStyle w:val="2"/>
        <w:numPr>
          <w:ilvl w:val="0"/>
          <w:numId w:val="5"/>
        </w:numPr>
        <w:rPr>
          <w:rFonts w:hint="eastAsia" w:ascii="仿宋" w:hAnsi="仿宋"/>
          <w:shd w:val="clear" w:color="auto" w:fill="FFFFFF"/>
          <w:lang w:bidi="ar"/>
        </w:rPr>
      </w:pPr>
      <w:bookmarkStart w:id="45" w:name="_Toc179548850"/>
      <w:r>
        <w:rPr>
          <w:rFonts w:ascii="仿宋" w:hAnsi="仿宋"/>
          <w:shd w:val="clear" w:color="auto" w:fill="FFFFFF"/>
          <w:lang w:bidi="ar"/>
        </w:rPr>
        <w:t>上海地铁呼兰路站</w:t>
      </w:r>
      <w:r>
        <w:rPr>
          <w:rFonts w:hint="eastAsia" w:ascii="仿宋" w:hAnsi="仿宋"/>
          <w:shd w:val="clear" w:color="auto" w:fill="FFFFFF"/>
          <w:lang w:bidi="ar"/>
        </w:rPr>
        <w:t>TOD</w:t>
      </w:r>
      <w:r>
        <w:rPr>
          <w:rFonts w:ascii="仿宋" w:hAnsi="仿宋"/>
          <w:shd w:val="clear" w:color="auto" w:fill="FFFFFF"/>
          <w:lang w:bidi="ar"/>
        </w:rPr>
        <w:t>设计公示</w:t>
      </w:r>
      <w:bookmarkEnd w:id="45"/>
    </w:p>
    <w:p w14:paraId="7C930C75">
      <w:pPr>
        <w:pStyle w:val="48"/>
        <w:ind w:firstLine="0" w:firstLineChars="0"/>
        <w:rPr>
          <w:rFonts w:ascii="仿宋" w:hAnsi="仿宋"/>
          <w:shd w:val="clear" w:color="auto" w:fill="FFFFFF"/>
          <w:lang w:bidi="ar"/>
        </w:rPr>
      </w:pPr>
      <w:r>
        <w:rPr>
          <w:rFonts w:hint="eastAsia"/>
        </w:rPr>
        <w:drawing>
          <wp:anchor distT="0" distB="0" distL="114300" distR="114300" simplePos="0" relativeHeight="251667456" behindDoc="0" locked="0" layoutInCell="1" allowOverlap="1">
            <wp:simplePos x="0" y="0"/>
            <wp:positionH relativeFrom="column">
              <wp:posOffset>0</wp:posOffset>
            </wp:positionH>
            <wp:positionV relativeFrom="paragraph">
              <wp:posOffset>68580</wp:posOffset>
            </wp:positionV>
            <wp:extent cx="2336800" cy="1439545"/>
            <wp:effectExtent l="0" t="0" r="6350" b="8255"/>
            <wp:wrapSquare wrapText="bothSides"/>
            <wp:docPr id="621715316" name="图片 5" descr="上海地铁呼兰路站车站设计公示(2) TOD智力广场今年开建 内含双换乘通道(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15316" name="图片 5" descr="上海地铁呼兰路站车站设计公示(2) TOD智力广场今年开建 内含双换乘通道(图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36800" cy="1439545"/>
                    </a:xfrm>
                    <a:prstGeom prst="rect">
                      <a:avLst/>
                    </a:prstGeom>
                    <a:noFill/>
                    <a:ln>
                      <a:noFill/>
                    </a:ln>
                  </pic:spPr>
                </pic:pic>
              </a:graphicData>
            </a:graphic>
          </wp:anchor>
        </w:drawing>
      </w:r>
      <w:r>
        <w:rPr>
          <w:rFonts w:hint="eastAsia" w:ascii="仿宋" w:hAnsi="仿宋"/>
          <w:shd w:val="clear" w:color="auto" w:fill="FFFFFF"/>
          <w:lang w:bidi="ar"/>
        </w:rPr>
        <w:t>9月2日，上海呼兰路站TOD——智力广场项目的设计图公示。项目分2个地块，位于共和新路西侧，呼兰西路南北两侧，为地铁1号线、18号线双轨交项目。项目为科研设计用途，总用地面积约为27082.2平方米，总建筑面积约为102992.6平方米。其中：北区（AB-02B地块）地上14层，总建筑面积约为51822平方米；南区（B1-01A地块）地上14层，总建筑面积约为51170.7平方米。主要建设内容包括科研办公、商业配套用房、地铁换乘厅、换乘通道等。其中，地铁南、北换乘厅、18号线3、4号口、1号线3、4号口均在本项目建筑内结合建设。智力广场计划今年开工建设，预计将于2026年交付使用。</w:t>
      </w:r>
    </w:p>
    <w:p w14:paraId="23D7C791">
      <w:pPr>
        <w:pStyle w:val="2"/>
        <w:numPr>
          <w:ilvl w:val="0"/>
          <w:numId w:val="5"/>
        </w:numPr>
        <w:rPr>
          <w:rFonts w:hint="eastAsia" w:ascii="仿宋" w:hAnsi="仿宋"/>
          <w:shd w:val="clear" w:color="auto" w:fill="FFFFFF"/>
          <w:lang w:bidi="ar"/>
        </w:rPr>
      </w:pPr>
      <w:bookmarkStart w:id="46" w:name="_Toc179548851"/>
      <w:r>
        <w:rPr>
          <w:rFonts w:hint="eastAsia" w:ascii="仿宋" w:hAnsi="仿宋"/>
          <w:shd w:val="clear" w:color="auto" w:fill="FFFFFF"/>
          <w:lang w:bidi="ar"/>
        </w:rPr>
        <w:t>上海市宝山南大TOD控规调整公示</w:t>
      </w:r>
      <w:bookmarkEnd w:id="46"/>
    </w:p>
    <w:p w14:paraId="280FC5BE">
      <w:pPr>
        <w:pStyle w:val="48"/>
        <w:ind w:firstLine="0" w:firstLineChars="0"/>
        <w:rPr>
          <w:rFonts w:ascii="仿宋" w:hAnsi="仿宋"/>
          <w:shd w:val="clear" w:color="auto" w:fill="FFFFFF"/>
          <w:lang w:bidi="ar"/>
        </w:rPr>
      </w:pPr>
      <w:r>
        <w:rPr>
          <w:rFonts w:hint="eastAsia" w:ascii="仿宋" w:hAnsi="仿宋"/>
        </w:rPr>
        <w:drawing>
          <wp:anchor distT="0" distB="0" distL="114300" distR="114300" simplePos="0" relativeHeight="251668480" behindDoc="0" locked="0" layoutInCell="1" allowOverlap="1">
            <wp:simplePos x="0" y="0"/>
            <wp:positionH relativeFrom="column">
              <wp:posOffset>0</wp:posOffset>
            </wp:positionH>
            <wp:positionV relativeFrom="paragraph">
              <wp:posOffset>78105</wp:posOffset>
            </wp:positionV>
            <wp:extent cx="2336800" cy="1439545"/>
            <wp:effectExtent l="0" t="0" r="6350" b="8255"/>
            <wp:wrapSquare wrapText="bothSides"/>
            <wp:docPr id="12711805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0544"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36800" cy="1439545"/>
                    </a:xfrm>
                    <a:prstGeom prst="rect">
                      <a:avLst/>
                    </a:prstGeom>
                    <a:noFill/>
                  </pic:spPr>
                </pic:pic>
              </a:graphicData>
            </a:graphic>
          </wp:anchor>
        </w:drawing>
      </w:r>
      <w:r>
        <w:rPr>
          <w:rFonts w:hint="eastAsia" w:ascii="仿宋" w:hAnsi="仿宋"/>
          <w:shd w:val="clear" w:color="auto" w:fill="FFFFFF"/>
          <w:lang w:bidi="ar"/>
        </w:rPr>
        <w:t>9月19日消息，上海市规自局对宝山区祁连敏感区(W12-1301)单元80-83、85-94街坊详规局调进行公示。本次详规局调位于祁连敏感区(W12-1301)单元内，为宝山南大TOD；北至走马塘路，西至祁连山路，东至鄂尔多斯路，南至南大路。本次公示总占地面积达34.1万方。其中，绿地总占地16.3万方；教育用地3宗，占地3.8万方，建筑面积4.3万方；商办用地1宗，占地1.6万方，建筑面积11.6万方，办公楼占比80%、商业20%；住宅用地5宗，占地面积8.3万方，总建面21万方，容积率2.5~2.6。</w:t>
      </w:r>
    </w:p>
    <w:p w14:paraId="41FE6BE5">
      <w:pPr>
        <w:pStyle w:val="2"/>
        <w:numPr>
          <w:ilvl w:val="0"/>
          <w:numId w:val="5"/>
        </w:numPr>
        <w:rPr>
          <w:rFonts w:hint="eastAsia" w:ascii="仿宋" w:hAnsi="仿宋"/>
          <w:shd w:val="clear" w:color="auto" w:fill="FFFFFF"/>
          <w:lang w:bidi="ar"/>
        </w:rPr>
      </w:pPr>
      <w:bookmarkStart w:id="47" w:name="_Toc179548852"/>
      <w:r>
        <w:rPr>
          <w:rFonts w:ascii="仿宋" w:hAnsi="仿宋"/>
          <w:shd w:val="clear" w:color="auto" w:fill="FFFFFF"/>
          <w:lang w:bidi="ar"/>
        </w:rPr>
        <w:t>广州TOD项目SMART TOD亮相</w:t>
      </w:r>
      <w:bookmarkEnd w:id="47"/>
    </w:p>
    <w:p w14:paraId="30C0DB30">
      <w:pPr>
        <w:pStyle w:val="48"/>
        <w:ind w:firstLine="0" w:firstLineChars="0"/>
        <w:rPr>
          <w:rFonts w:ascii="仿宋" w:hAnsi="仿宋"/>
        </w:rPr>
      </w:pPr>
      <w:r>
        <w:rPr>
          <w:rFonts w:hint="eastAsia"/>
        </w:rPr>
        <w:drawing>
          <wp:anchor distT="0" distB="0" distL="114300" distR="114300" simplePos="0" relativeHeight="251669504" behindDoc="0" locked="0" layoutInCell="1" allowOverlap="1">
            <wp:simplePos x="0" y="0"/>
            <wp:positionH relativeFrom="column">
              <wp:posOffset>0</wp:posOffset>
            </wp:positionH>
            <wp:positionV relativeFrom="paragraph">
              <wp:posOffset>69215</wp:posOffset>
            </wp:positionV>
            <wp:extent cx="2336800" cy="1439545"/>
            <wp:effectExtent l="0" t="0" r="6350" b="8255"/>
            <wp:wrapSquare wrapText="bothSides"/>
            <wp:docPr id="12130472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47289"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6800" cy="1439545"/>
                    </a:xfrm>
                    <a:prstGeom prst="rect">
                      <a:avLst/>
                    </a:prstGeom>
                    <a:noFill/>
                    <a:ln>
                      <a:noFill/>
                    </a:ln>
                  </pic:spPr>
                </pic:pic>
              </a:graphicData>
            </a:graphic>
          </wp:anchor>
        </w:drawing>
      </w:r>
      <w:r>
        <w:rPr>
          <w:rFonts w:hint="eastAsia" w:ascii="仿宋" w:hAnsi="仿宋"/>
        </w:rPr>
        <w:t>9月10日，以“世界向新·愉此SMART-耀胜</w:t>
      </w:r>
      <w:r>
        <w:fldChar w:fldCharType="begin"/>
      </w:r>
      <w:r>
        <w:instrText xml:space="preserve"> HYPERLINK "http://quote.eastmoney.com/unify/r/1.600628" \t "https://finance.eastmoney.com/a/_blank" </w:instrText>
      </w:r>
      <w:r>
        <w:fldChar w:fldCharType="separate"/>
      </w:r>
      <w:r>
        <w:rPr>
          <w:rFonts w:hint="eastAsia" w:ascii="仿宋" w:hAnsi="仿宋"/>
          <w:shd w:val="clear" w:color="auto" w:fill="FFFFFF"/>
          <w:lang w:bidi="ar"/>
        </w:rPr>
        <w:t>新世界</w:t>
      </w:r>
      <w:r>
        <w:rPr>
          <w:rFonts w:hint="eastAsia" w:ascii="仿宋" w:hAnsi="仿宋"/>
          <w:shd w:val="clear" w:color="auto" w:fill="FFFFFF"/>
          <w:lang w:bidi="ar"/>
        </w:rPr>
        <w:fldChar w:fldCharType="end"/>
      </w:r>
      <w:r>
        <w:rPr>
          <w:rFonts w:hint="eastAsia" w:ascii="仿宋" w:hAnsi="仿宋"/>
        </w:rPr>
        <w:t>广场全球领先亮相”为主题的发布会于广州长隆万博商圈举行。发布会上，耀胜</w:t>
      </w:r>
      <w:r>
        <w:rPr>
          <w:rFonts w:hint="eastAsia" w:ascii="仿宋" w:hAnsi="仿宋"/>
        </w:rPr>
        <w:fldChar w:fldCharType="begin"/>
      </w:r>
      <w:r>
        <w:rPr>
          <w:rFonts w:hint="eastAsia" w:ascii="仿宋" w:hAnsi="仿宋"/>
        </w:rPr>
        <w:instrText xml:space="preserve"> HYPERLINK "http://quote.eastmoney.com/unify/r/1.600628" \t "https://finance.eastmoney.com/a/_blank" </w:instrText>
      </w:r>
      <w:r>
        <w:rPr>
          <w:rFonts w:hint="eastAsia" w:ascii="仿宋" w:hAnsi="仿宋"/>
        </w:rPr>
        <w:fldChar w:fldCharType="separate"/>
      </w:r>
      <w:r>
        <w:rPr>
          <w:rFonts w:hint="eastAsia" w:ascii="仿宋" w:hAnsi="仿宋"/>
        </w:rPr>
        <w:t>新世界</w:t>
      </w:r>
      <w:r>
        <w:rPr>
          <w:rFonts w:hint="eastAsia" w:ascii="仿宋" w:hAnsi="仿宋"/>
        </w:rPr>
        <w:fldChar w:fldCharType="end"/>
      </w:r>
      <w:r>
        <w:rPr>
          <w:rFonts w:hint="eastAsia" w:ascii="仿宋" w:hAnsi="仿宋"/>
        </w:rPr>
        <w:t>广场独创的SMART TOD综合体新模式正式亮相，包括品质住宅耀胜尊府、大湾区首座K11 Select商场、写字楼耀胜</w:t>
      </w:r>
      <w:r>
        <w:rPr>
          <w:rFonts w:hint="eastAsia" w:ascii="仿宋" w:hAnsi="仿宋"/>
        </w:rPr>
        <w:fldChar w:fldCharType="begin"/>
      </w:r>
      <w:r>
        <w:rPr>
          <w:rFonts w:hint="eastAsia" w:ascii="仿宋" w:hAnsi="仿宋"/>
        </w:rPr>
        <w:instrText xml:space="preserve"> HYPERLINK "http://quote.eastmoney.com/unify/r/1.600628" \t "https://finance.eastmoney.com/a/_blank" </w:instrText>
      </w:r>
      <w:r>
        <w:rPr>
          <w:rFonts w:hint="eastAsia" w:ascii="仿宋" w:hAnsi="仿宋"/>
        </w:rPr>
        <w:fldChar w:fldCharType="separate"/>
      </w:r>
      <w:r>
        <w:rPr>
          <w:rFonts w:hint="eastAsia" w:ascii="仿宋" w:hAnsi="仿宋"/>
        </w:rPr>
        <w:t>新世界</w:t>
      </w:r>
      <w:r>
        <w:rPr>
          <w:rFonts w:hint="eastAsia" w:ascii="仿宋" w:hAnsi="仿宋"/>
        </w:rPr>
        <w:fldChar w:fldCharType="end"/>
      </w:r>
      <w:r>
        <w:rPr>
          <w:rFonts w:hint="eastAsia" w:ascii="仿宋" w:hAnsi="仿宋"/>
        </w:rPr>
        <w:t>发展中心在内的三大核心业态同步登场。耀胜新世界广场是一个基于交通枢纽进行综合开发的TOD项目，项目通过六维立体园林的创新设计，构筑出一座城市中的垂直森林，让自然、生活和艺术在这里融合，呈现出独特的愉悦生活美学，满足了不同人群的情绪价值。耀胜</w:t>
      </w:r>
      <w:r>
        <w:rPr>
          <w:rFonts w:hint="eastAsia" w:ascii="仿宋" w:hAnsi="仿宋"/>
        </w:rPr>
        <w:fldChar w:fldCharType="begin"/>
      </w:r>
      <w:r>
        <w:rPr>
          <w:rFonts w:hint="eastAsia" w:ascii="仿宋" w:hAnsi="仿宋"/>
        </w:rPr>
        <w:instrText xml:space="preserve"> HYPERLINK "http://quote.eastmoney.com/unify/r/116.00017" \t "https://finance.eastmoney.com/a/_blank" </w:instrText>
      </w:r>
      <w:r>
        <w:rPr>
          <w:rFonts w:hint="eastAsia" w:ascii="仿宋" w:hAnsi="仿宋"/>
        </w:rPr>
        <w:fldChar w:fldCharType="separate"/>
      </w:r>
      <w:r>
        <w:rPr>
          <w:rFonts w:hint="eastAsia" w:ascii="仿宋" w:hAnsi="仿宋"/>
        </w:rPr>
        <w:t>新世界发展</w:t>
      </w:r>
      <w:r>
        <w:rPr>
          <w:rFonts w:hint="eastAsia" w:ascii="仿宋" w:hAnsi="仿宋"/>
        </w:rPr>
        <w:fldChar w:fldCharType="end"/>
      </w:r>
      <w:r>
        <w:rPr>
          <w:rFonts w:hint="eastAsia" w:ascii="仿宋" w:hAnsi="仿宋"/>
        </w:rPr>
        <w:t>中心将艺术、工作与社群有机融合，为新世代营造一个激情丰富而多样活力的商务生活场。</w:t>
      </w:r>
    </w:p>
    <w:p w14:paraId="71A59DCC">
      <w:pPr>
        <w:pStyle w:val="2"/>
        <w:numPr>
          <w:ilvl w:val="0"/>
          <w:numId w:val="5"/>
        </w:numPr>
        <w:rPr>
          <w:rFonts w:hint="eastAsia" w:ascii="仿宋" w:hAnsi="仿宋"/>
          <w:shd w:val="clear" w:color="auto" w:fill="FFFFFF"/>
          <w:lang w:bidi="ar"/>
        </w:rPr>
      </w:pPr>
      <w:bookmarkStart w:id="48" w:name="_Toc179548853"/>
      <w:r>
        <w:rPr>
          <w:rFonts w:hint="eastAsia" w:ascii="仿宋" w:hAnsi="仿宋"/>
          <w:shd w:val="clear" w:color="auto" w:fill="FFFFFF"/>
          <w:lang w:bidi="ar"/>
        </w:rPr>
        <w:t>广州地铁西塱站创国内存量车辆段及车站全程不停运的更新改造范式</w:t>
      </w:r>
      <w:bookmarkEnd w:id="48"/>
    </w:p>
    <w:p w14:paraId="5092EF6E">
      <w:pPr>
        <w:pStyle w:val="48"/>
        <w:ind w:firstLine="0" w:firstLineChars="0"/>
        <w:rPr>
          <w:rFonts w:ascii="仿宋" w:hAnsi="仿宋"/>
          <w:shd w:val="clear" w:color="auto" w:fill="FFFFFF"/>
          <w:lang w:bidi="ar"/>
        </w:rPr>
      </w:pPr>
      <w:r>
        <w:rPr>
          <w:rFonts w:hint="eastAsia" w:ascii="仿宋" w:hAnsi="仿宋" w:cs="Arial"/>
          <w:color w:val="222222"/>
          <w:sz w:val="28"/>
          <w:szCs w:val="28"/>
          <w:shd w:val="clear" w:color="auto" w:fill="FFFFFF"/>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63500</wp:posOffset>
            </wp:positionV>
            <wp:extent cx="2343150" cy="1447800"/>
            <wp:effectExtent l="0" t="0" r="0" b="0"/>
            <wp:wrapSquare wrapText="bothSides"/>
            <wp:docPr id="13638846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8465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43150" cy="1447800"/>
                    </a:xfrm>
                    <a:prstGeom prst="rect">
                      <a:avLst/>
                    </a:prstGeom>
                    <a:noFill/>
                  </pic:spPr>
                </pic:pic>
              </a:graphicData>
            </a:graphic>
          </wp:anchor>
        </w:drawing>
      </w:r>
      <w:r>
        <w:rPr>
          <w:rFonts w:hint="eastAsia" w:ascii="仿宋" w:hAnsi="仿宋"/>
          <w:shd w:val="clear" w:color="auto" w:fill="FFFFFF"/>
          <w:lang w:bidi="ar"/>
        </w:rPr>
        <w:t>9月12日，从广州市规划和自然资源局获悉，西塱地铁站、车辆段将更新改造，并首创国内存量车辆段及车站全程不停运的更新改造范式。西塱地铁站位于广州老芳村中心，车站北侧的西塱车辆段作为线路车辆基地，承担全线列车停放及检修等任务。西塱站及车辆段于1997年投入使用，至今已近30年时间。目前，旧段场的调度发车能力已难以满足日益增长的交通需求，1号线地面车站的设置形式也难以实现最优的四线换乘方案。另外，地面车辆段对地面空间的隔绝效应明显，制约地区功能结构优化。本次规划重点聚焦于段场腾挪改造、枢纽升级改造、交通系统改善、综合功能提升、土地整备实施五个方面，提出了段场与车站、交通与开发的一体化统筹方案。</w:t>
      </w:r>
    </w:p>
    <w:p w14:paraId="7109192E">
      <w:pPr>
        <w:pStyle w:val="2"/>
        <w:numPr>
          <w:ilvl w:val="0"/>
          <w:numId w:val="5"/>
        </w:numPr>
        <w:rPr>
          <w:rFonts w:hint="eastAsia" w:ascii="仿宋" w:hAnsi="仿宋"/>
          <w:shd w:val="clear" w:color="auto" w:fill="FFFFFF"/>
          <w:lang w:bidi="ar"/>
        </w:rPr>
      </w:pPr>
      <w:bookmarkStart w:id="49" w:name="_Toc179548854"/>
      <w:r>
        <w:rPr>
          <w:rFonts w:hint="eastAsia" w:ascii="仿宋" w:hAnsi="仿宋"/>
          <w:shd w:val="clear" w:color="auto" w:fill="FFFFFF"/>
          <w:lang w:bidi="ar"/>
        </w:rPr>
        <w:t>东北首个公交枢纽TOD项目-大连五一广场将投用</w:t>
      </w:r>
      <w:bookmarkEnd w:id="49"/>
    </w:p>
    <w:p w14:paraId="0517F559">
      <w:pPr>
        <w:pStyle w:val="48"/>
        <w:ind w:firstLine="0" w:firstLineChars="0"/>
        <w:rPr>
          <w:rFonts w:ascii="仿宋" w:hAnsi="仿宋"/>
        </w:rPr>
      </w:pPr>
      <w:r>
        <w:rPr>
          <w:rFonts w:hint="eastAsia" w:ascii="仿宋" w:hAnsi="仿宋"/>
        </w:rPr>
        <w:drawing>
          <wp:anchor distT="0" distB="0" distL="114300" distR="114300" simplePos="0" relativeHeight="251671552" behindDoc="0" locked="0" layoutInCell="1" allowOverlap="1">
            <wp:simplePos x="0" y="0"/>
            <wp:positionH relativeFrom="column">
              <wp:posOffset>-3175</wp:posOffset>
            </wp:positionH>
            <wp:positionV relativeFrom="paragraph">
              <wp:posOffset>55245</wp:posOffset>
            </wp:positionV>
            <wp:extent cx="2352675" cy="1447800"/>
            <wp:effectExtent l="0" t="0" r="9525" b="0"/>
            <wp:wrapSquare wrapText="bothSides"/>
            <wp:docPr id="1203521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21129"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52675" cy="1447800"/>
                    </a:xfrm>
                    <a:prstGeom prst="rect">
                      <a:avLst/>
                    </a:prstGeom>
                    <a:noFill/>
                  </pic:spPr>
                </pic:pic>
              </a:graphicData>
            </a:graphic>
          </wp:anchor>
        </w:drawing>
      </w:r>
      <w:r>
        <w:rPr>
          <w:rFonts w:hint="eastAsia" w:ascii="仿宋" w:hAnsi="仿宋"/>
          <w:shd w:val="clear" w:color="auto" w:fill="FFFFFF"/>
          <w:lang w:bidi="ar"/>
        </w:rPr>
        <w:t>9月7日消息，大连五一广场公交枢纽将投用。五一广场公交枢纽项目其实就位于绿城沁园项目，具体位置在沙河口区鞍山路南侧、东北路西侧、长江路北侧、工华街东侧、三春街南北两侧，作为“公交枢纽＋住宅＋商业”一体化综合体，沁园项目融合了城市交通枢纽、商业、住宅多种功能于一体，通过综合开发实现公交场站的交通功能与商业、办公、居住、娱乐等城市功能的高效复合，也是东北首个公交枢纽TOD项目。</w:t>
      </w:r>
    </w:p>
    <w:p w14:paraId="42C1CC46">
      <w:pPr>
        <w:pStyle w:val="2"/>
        <w:numPr>
          <w:ilvl w:val="0"/>
          <w:numId w:val="5"/>
        </w:numPr>
        <w:rPr>
          <w:rFonts w:hint="eastAsia" w:ascii="仿宋" w:hAnsi="仿宋"/>
          <w:shd w:val="clear" w:color="auto" w:fill="FFFFFF"/>
          <w:lang w:bidi="ar"/>
        </w:rPr>
      </w:pPr>
      <w:bookmarkStart w:id="50" w:name="_Toc179548855"/>
      <w:r>
        <w:rPr>
          <w:rFonts w:hint="eastAsia" w:ascii="仿宋" w:hAnsi="仿宋"/>
          <w:shd w:val="clear" w:color="auto" w:fill="FFFFFF"/>
          <w:lang w:bidi="ar"/>
        </w:rPr>
        <w:t>南京北站枢纽工程开工活动在南京江北新区举行</w:t>
      </w:r>
      <w:bookmarkEnd w:id="50"/>
    </w:p>
    <w:p w14:paraId="79BB1B4C">
      <w:pPr>
        <w:pStyle w:val="48"/>
        <w:ind w:firstLine="0" w:firstLineChars="0"/>
        <w:rPr>
          <w:rFonts w:hint="eastAsia" w:ascii="仿宋" w:hAnsi="仿宋"/>
        </w:rPr>
      </w:pPr>
      <w:r>
        <w:rPr>
          <w:rFonts w:hint="eastAsia" w:ascii="仿宋" w:hAnsi="仿宋"/>
        </w:rPr>
        <w:drawing>
          <wp:anchor distT="0" distB="0" distL="114300" distR="114300" simplePos="0" relativeHeight="251672576" behindDoc="0" locked="0" layoutInCell="1" allowOverlap="1">
            <wp:simplePos x="0" y="0"/>
            <wp:positionH relativeFrom="column">
              <wp:posOffset>12700</wp:posOffset>
            </wp:positionH>
            <wp:positionV relativeFrom="paragraph">
              <wp:posOffset>90170</wp:posOffset>
            </wp:positionV>
            <wp:extent cx="2352675" cy="1485900"/>
            <wp:effectExtent l="0" t="0" r="9525" b="0"/>
            <wp:wrapSquare wrapText="bothSides"/>
            <wp:docPr id="17221872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7223"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52675" cy="1485900"/>
                    </a:xfrm>
                    <a:prstGeom prst="rect">
                      <a:avLst/>
                    </a:prstGeom>
                    <a:noFill/>
                  </pic:spPr>
                </pic:pic>
              </a:graphicData>
            </a:graphic>
          </wp:anchor>
        </w:drawing>
      </w:r>
      <w:r>
        <w:rPr>
          <w:rFonts w:ascii="仿宋" w:hAnsi="仿宋"/>
        </w:rPr>
        <w:t>9月13日上午，南京北站枢纽工程开工活动，在</w:t>
      </w:r>
      <w:r>
        <w:rPr>
          <w:rFonts w:ascii="仿宋" w:hAnsi="仿宋"/>
          <w:shd w:val="clear" w:color="auto" w:fill="FFFFFF"/>
          <w:lang w:bidi="ar"/>
        </w:rPr>
        <w:t>江北</w:t>
      </w:r>
      <w:r>
        <w:rPr>
          <w:rFonts w:ascii="仿宋" w:hAnsi="仿宋"/>
        </w:rPr>
        <w:t>新区举行。南京北站位于东西沿江通道和南北粤海通道的交汇处，是南京铁路枢纽“三大主客站”之一，也是北沿江高铁沿线规模最大的枢纽客站。南京北站站场东西向长710米，南北向长637米，站房共设6层，包括地上4层和地下2层。作为南京唯一集高铁、城际、普速铁路为一体的铁路枢纽，南京北站具备全向发车能力，站场设3场16台30线，规模超过南京站与南京南站。南京北站工程将按照“站城一体、产城人融合”的思路，打造融合交通、居住、商务、商业和科技创新等功能于一体的城市新片区，全面提升南京国际性综合交通枢纽城市功能。</w:t>
      </w:r>
    </w:p>
    <w:p w14:paraId="276A200E">
      <w:pPr>
        <w:pStyle w:val="2"/>
        <w:numPr>
          <w:ilvl w:val="0"/>
          <w:numId w:val="5"/>
        </w:numPr>
        <w:rPr>
          <w:rFonts w:hint="eastAsia" w:ascii="仿宋" w:hAnsi="仿宋"/>
          <w:shd w:val="clear" w:color="auto" w:fill="FFFFFF"/>
          <w:lang w:bidi="ar"/>
        </w:rPr>
      </w:pPr>
      <w:bookmarkStart w:id="51" w:name="_Toc179548856"/>
      <w:r>
        <w:rPr>
          <w:rFonts w:hint="eastAsia" w:ascii="仿宋" w:hAnsi="仿宋"/>
          <w:shd w:val="clear" w:color="auto" w:fill="FFFFFF"/>
          <w:lang w:bidi="ar"/>
        </w:rPr>
        <w:t>济南王府庄车辆段租赁住房项目预计年底实现交付</w:t>
      </w:r>
      <w:bookmarkEnd w:id="51"/>
    </w:p>
    <w:p w14:paraId="6A661AF8">
      <w:pPr>
        <w:pStyle w:val="48"/>
        <w:ind w:firstLine="0" w:firstLineChars="0"/>
        <w:rPr>
          <w:rFonts w:ascii="仿宋" w:hAnsi="仿宋"/>
          <w:shd w:val="clear" w:color="auto" w:fill="FFFFFF"/>
          <w:lang w:bidi="ar"/>
        </w:rPr>
      </w:pPr>
      <w:r>
        <w:rPr>
          <w:rFonts w:hint="eastAsia" w:ascii="仿宋" w:hAnsi="仿宋"/>
        </w:rPr>
        <w:drawing>
          <wp:anchor distT="0" distB="0" distL="114300" distR="114300" simplePos="0" relativeHeight="251673600" behindDoc="0" locked="0" layoutInCell="1" allowOverlap="1">
            <wp:simplePos x="0" y="0"/>
            <wp:positionH relativeFrom="column">
              <wp:posOffset>-6350</wp:posOffset>
            </wp:positionH>
            <wp:positionV relativeFrom="paragraph">
              <wp:posOffset>111125</wp:posOffset>
            </wp:positionV>
            <wp:extent cx="2343150" cy="1447800"/>
            <wp:effectExtent l="0" t="0" r="0" b="0"/>
            <wp:wrapSquare wrapText="bothSides"/>
            <wp:docPr id="11649132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13224"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43150" cy="1447800"/>
                    </a:xfrm>
                    <a:prstGeom prst="rect">
                      <a:avLst/>
                    </a:prstGeom>
                    <a:noFill/>
                  </pic:spPr>
                </pic:pic>
              </a:graphicData>
            </a:graphic>
          </wp:anchor>
        </w:drawing>
      </w:r>
      <w:r>
        <w:rPr>
          <w:rFonts w:hint="eastAsia" w:ascii="仿宋" w:hAnsi="仿宋"/>
          <w:shd w:val="clear" w:color="auto" w:fill="FFFFFF"/>
          <w:lang w:bidi="ar"/>
        </w:rPr>
        <w:t>9月14日，在济南王府庄车辆段租赁住房项目建设现场，目前楼体外墙外饰面、室外管网、小区内道路硬化已施工完成，室内初装修基本完成，正在进行最后的精装修和小区绿化等工作，预计今年12月可实现交付。该项目是山东首个建在地铁车辆段上的钢结构装配式保障性租赁住宅项目，建设规模为9栋住宅楼，1栋配套商业，3个交通核及配套车库，总建筑面积12.3万平方米，共1647套，提供35、60和90平方米等多种面积户型，主要面向济南市“新市民、青年人”提供服务。</w:t>
      </w:r>
    </w:p>
    <w:p w14:paraId="428A44CD">
      <w:pPr>
        <w:pStyle w:val="2"/>
        <w:numPr>
          <w:ilvl w:val="0"/>
          <w:numId w:val="5"/>
        </w:numPr>
        <w:rPr>
          <w:rFonts w:hint="eastAsia" w:ascii="仿宋" w:hAnsi="仿宋"/>
          <w:shd w:val="clear" w:color="auto" w:fill="FFFFFF"/>
          <w:lang w:bidi="ar"/>
        </w:rPr>
      </w:pPr>
      <w:bookmarkStart w:id="52" w:name="_Toc179548857"/>
      <w:r>
        <w:rPr>
          <w:rFonts w:hint="eastAsia" w:ascii="仿宋" w:hAnsi="仿宋"/>
          <w:shd w:val="clear" w:color="auto" w:fill="FFFFFF"/>
          <w:lang w:bidi="ar"/>
        </w:rPr>
        <w:t>南通火车站综合客运枢纽开发工程开工</w:t>
      </w:r>
      <w:bookmarkEnd w:id="52"/>
    </w:p>
    <w:p w14:paraId="69301311">
      <w:pPr>
        <w:pStyle w:val="48"/>
        <w:ind w:firstLine="0" w:firstLineChars="0"/>
        <w:rPr>
          <w:rFonts w:hint="eastAsia" w:ascii="仿宋" w:hAnsi="仿宋"/>
          <w:shd w:val="clear" w:color="auto" w:fill="FFFFFF"/>
          <w:lang w:bidi="ar"/>
        </w:rPr>
      </w:pPr>
      <w:r>
        <w:rPr>
          <w:rFonts w:hint="eastAsia"/>
        </w:rPr>
        <w:drawing>
          <wp:anchor distT="0" distB="0" distL="114300" distR="114300" simplePos="0" relativeHeight="251674624" behindDoc="0" locked="0" layoutInCell="1" allowOverlap="1">
            <wp:simplePos x="0" y="0"/>
            <wp:positionH relativeFrom="column">
              <wp:posOffset>0</wp:posOffset>
            </wp:positionH>
            <wp:positionV relativeFrom="paragraph">
              <wp:posOffset>61595</wp:posOffset>
            </wp:positionV>
            <wp:extent cx="2355850" cy="1439545"/>
            <wp:effectExtent l="0" t="0" r="6350" b="8255"/>
            <wp:wrapSquare wrapText="bothSides"/>
            <wp:docPr id="3891732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3248"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55850" cy="1439545"/>
                    </a:xfrm>
                    <a:prstGeom prst="rect">
                      <a:avLst/>
                    </a:prstGeom>
                    <a:noFill/>
                    <a:ln>
                      <a:noFill/>
                    </a:ln>
                  </pic:spPr>
                </pic:pic>
              </a:graphicData>
            </a:graphic>
          </wp:anchor>
        </w:drawing>
      </w:r>
      <w:r>
        <w:rPr>
          <w:rFonts w:hint="eastAsia" w:ascii="仿宋" w:hAnsi="仿宋"/>
          <w:shd w:val="clear" w:color="auto" w:fill="FFFFFF"/>
          <w:lang w:bidi="ar"/>
        </w:rPr>
        <w:t>9月15日，南通火车站综合客运枢纽开发工程土地摘牌后一个工作日内顺利实现“摘牌即开工”。该项目计划2027年与沪渝蓉高铁开通同步启用，是沪渝蓉高铁引入南通的门户工程。项目由市城建集团高铁枢纽建设管理有限公司承建，总用地规模约5.6万平方米，总建筑规模约11.3万平方米，其中地上建筑6.8万平方米，地下建筑规模约4.5万平方米。整个枢纽广场集高铁、地铁、汽车客运站、公交车、出租车、社会车、网约车、非机动车等多种交通方式为一体，实现零售、餐饮、办公、酒店等多种业态在同一空间共存，打造“站城融合”南通样板。</w:t>
      </w:r>
    </w:p>
    <w:p w14:paraId="5C2F1CD4">
      <w:pPr>
        <w:pStyle w:val="2"/>
        <w:numPr>
          <w:ilvl w:val="0"/>
          <w:numId w:val="5"/>
        </w:numPr>
        <w:rPr>
          <w:rFonts w:hint="eastAsia" w:ascii="仿宋" w:hAnsi="仿宋"/>
          <w:shd w:val="clear" w:color="auto" w:fill="FFFFFF"/>
          <w:lang w:bidi="ar"/>
        </w:rPr>
      </w:pPr>
      <w:bookmarkStart w:id="53" w:name="_Toc179548858"/>
      <w:r>
        <w:rPr>
          <w:rFonts w:hint="eastAsia" w:ascii="仿宋" w:hAnsi="仿宋"/>
          <w:shd w:val="clear" w:color="auto" w:fill="FFFFFF"/>
          <w:lang w:bidi="ar"/>
        </w:rPr>
        <w:t>东莞市旗云城市广场项目打造沉浸式、互动式主题商业综合体</w:t>
      </w:r>
      <w:bookmarkEnd w:id="53"/>
    </w:p>
    <w:p w14:paraId="6E9BAC8D">
      <w:pPr>
        <w:pStyle w:val="48"/>
        <w:ind w:firstLine="0" w:firstLineChars="0"/>
        <w:rPr>
          <w:rFonts w:ascii="仿宋" w:hAnsi="仿宋"/>
          <w:shd w:val="clear" w:color="auto" w:fill="FFFFFF"/>
          <w:lang w:bidi="ar"/>
        </w:rPr>
      </w:pPr>
      <w:r>
        <w:rPr>
          <w:rFonts w:hint="eastAsia" w:ascii="仿宋" w:hAnsi="仿宋"/>
          <w:shd w:val="clear" w:color="auto" w:fill="FFFFFF"/>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78740</wp:posOffset>
            </wp:positionV>
            <wp:extent cx="2343150" cy="1447800"/>
            <wp:effectExtent l="0" t="0" r="0" b="0"/>
            <wp:wrapSquare wrapText="bothSides"/>
            <wp:docPr id="18084397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39764"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43150" cy="1447800"/>
                    </a:xfrm>
                    <a:prstGeom prst="rect">
                      <a:avLst/>
                    </a:prstGeom>
                    <a:noFill/>
                  </pic:spPr>
                </pic:pic>
              </a:graphicData>
            </a:graphic>
          </wp:anchor>
        </w:drawing>
      </w:r>
      <w:r>
        <w:rPr>
          <w:rFonts w:hint="eastAsia" w:ascii="仿宋" w:hAnsi="仿宋"/>
          <w:shd w:val="clear" w:color="auto" w:fill="FFFFFF"/>
          <w:lang w:bidi="ar"/>
        </w:rPr>
        <w:t>近日，东莞市旗云城市广场项目全面封顶，项目预计在2025年6月竣工。项目建成后，将高标准、高品质打造沉浸式、互动式的主题商业综合体，将火车站、公交站点、居住区、城市生活等不同要素连接起来，助力东莞进一步发挥珠三角一小时生活圈优势。项目位于东莞市石龙镇，为“广深城际”铁路线“东莞站”与地铁2#线“东莞火车站”交汇处，属于纯商业TOD项目。项目用地面积4.8万平方米，总建筑面积约12.6万平方米，包括5.6万平方米的集中商业、1.2万平方米的街区商业、2.0万平方米的地下商业、1.2万平米长途客运站及2.6万平方米的地下停车场。</w:t>
      </w:r>
    </w:p>
    <w:p w14:paraId="72DF6FC7">
      <w:pPr>
        <w:pStyle w:val="2"/>
        <w:numPr>
          <w:ilvl w:val="0"/>
          <w:numId w:val="5"/>
        </w:numPr>
        <w:rPr>
          <w:rFonts w:hint="eastAsia" w:ascii="仿宋" w:hAnsi="仿宋"/>
          <w:shd w:val="clear" w:color="auto" w:fill="FFFFFF"/>
          <w:lang w:bidi="ar"/>
        </w:rPr>
      </w:pPr>
      <w:bookmarkStart w:id="54" w:name="_Toc179548859"/>
      <w:r>
        <w:rPr>
          <w:rFonts w:hint="eastAsia" w:ascii="仿宋" w:hAnsi="仿宋"/>
          <w:shd w:val="clear" w:color="auto" w:fill="FFFFFF"/>
          <w:lang w:bidi="ar"/>
        </w:rPr>
        <w:t>绍兴中交·未来星城TOD生活艺术馆开放</w:t>
      </w:r>
      <w:bookmarkEnd w:id="54"/>
    </w:p>
    <w:p w14:paraId="497B0AA5">
      <w:pPr>
        <w:pStyle w:val="48"/>
        <w:ind w:firstLine="0" w:firstLineChars="0"/>
        <w:rPr>
          <w:rFonts w:ascii="仿宋" w:hAnsi="仿宋"/>
          <w:shd w:val="clear" w:color="auto" w:fill="FFFFFF"/>
          <w:lang w:bidi="ar"/>
        </w:rPr>
      </w:pPr>
      <w:r>
        <w:rPr>
          <w:rFonts w:hint="eastAsia" w:ascii="仿宋" w:hAnsi="仿宋"/>
          <w:shd w:val="clear" w:color="auto" w:fill="FFFFFF"/>
          <w:lang w:bidi="ar"/>
        </w:rPr>
        <w:drawing>
          <wp:anchor distT="0" distB="0" distL="114300" distR="114300" simplePos="0" relativeHeight="251676672" behindDoc="0" locked="0" layoutInCell="1" allowOverlap="1">
            <wp:simplePos x="0" y="0"/>
            <wp:positionH relativeFrom="column">
              <wp:posOffset>19050</wp:posOffset>
            </wp:positionH>
            <wp:positionV relativeFrom="paragraph">
              <wp:posOffset>56515</wp:posOffset>
            </wp:positionV>
            <wp:extent cx="2343150" cy="1443355"/>
            <wp:effectExtent l="0" t="0" r="0" b="4445"/>
            <wp:wrapSquare wrapText="bothSides"/>
            <wp:docPr id="1159724015" name="图片 19" descr="世界柯桥，首座TOD生活艺术馆，火出圈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4015" name="图片 19" descr="世界柯桥，首座TOD生活艺术馆，火出圈了！"/>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43150" cy="1443355"/>
                    </a:xfrm>
                    <a:prstGeom prst="rect">
                      <a:avLst/>
                    </a:prstGeom>
                    <a:noFill/>
                    <a:ln>
                      <a:noFill/>
                    </a:ln>
                  </pic:spPr>
                </pic:pic>
              </a:graphicData>
            </a:graphic>
          </wp:anchor>
        </w:drawing>
      </w:r>
      <w:r>
        <w:rPr>
          <w:rFonts w:hint="eastAsia" w:ascii="仿宋" w:hAnsi="仿宋"/>
          <w:shd w:val="clear" w:color="auto" w:fill="FFFFFF"/>
          <w:lang w:bidi="ar"/>
        </w:rPr>
        <w:t>9月28日，绍兴中交·未来星城TOD生活艺术馆开放。中交·未来星城，首创TOD4.0人居模式，规划总建面约66万方TOD综合体大城，聚合约11万方中高端大型购物中心、约24.5万方城市高端滨水奢宅、约5万方国际五星级酒店、约3万方商务办公、约1万方邻里中心等多元封面业态，构建3-10分钟全场景高效复合的步行生活圈，通过未来人居的颠覆演绎，为绍兴融杭发展提供助力，共建宜居、宜商、宜游的国际金柯桥。</w:t>
      </w:r>
    </w:p>
    <w:p w14:paraId="742390B6">
      <w:pPr>
        <w:pStyle w:val="2"/>
        <w:numPr>
          <w:ilvl w:val="0"/>
          <w:numId w:val="5"/>
        </w:numPr>
        <w:rPr>
          <w:rFonts w:hint="eastAsia" w:ascii="仿宋" w:hAnsi="仿宋"/>
          <w:shd w:val="clear" w:color="auto" w:fill="FFFFFF"/>
          <w:lang w:bidi="ar"/>
        </w:rPr>
      </w:pPr>
      <w:bookmarkStart w:id="55" w:name="_Toc179548860"/>
      <w:r>
        <w:rPr>
          <w:rFonts w:hint="eastAsia" w:ascii="仿宋" w:hAnsi="仿宋"/>
          <w:shd w:val="clear" w:color="auto" w:fill="FFFFFF"/>
          <w:lang w:bidi="ar"/>
        </w:rPr>
        <w:t>成都四川师大站静桉南TOD综合开发项目（住宅）首批次顺利封顶</w:t>
      </w:r>
      <w:bookmarkEnd w:id="55"/>
    </w:p>
    <w:p w14:paraId="21CDEDAB">
      <w:pPr>
        <w:pStyle w:val="48"/>
        <w:ind w:firstLine="0" w:firstLineChars="0"/>
        <w:rPr>
          <w:rFonts w:hint="eastAsia" w:ascii="仿宋" w:hAnsi="仿宋"/>
          <w:shd w:val="clear" w:color="auto" w:fill="FFFFFF"/>
          <w:lang w:bidi="ar"/>
        </w:rPr>
      </w:pPr>
      <w:r>
        <w:rPr>
          <w:rFonts w:hint="eastAsia" w:ascii="仿宋" w:hAnsi="仿宋"/>
          <w:shd w:val="clear" w:color="auto" w:fill="FFFFFF"/>
          <w:lang w:bidi="ar"/>
        </w:rPr>
        <w:drawing>
          <wp:anchor distT="0" distB="0" distL="114300" distR="114300" simplePos="0" relativeHeight="251679744" behindDoc="0" locked="0" layoutInCell="1" allowOverlap="1">
            <wp:simplePos x="0" y="0"/>
            <wp:positionH relativeFrom="column">
              <wp:posOffset>6350</wp:posOffset>
            </wp:positionH>
            <wp:positionV relativeFrom="paragraph">
              <wp:posOffset>45085</wp:posOffset>
            </wp:positionV>
            <wp:extent cx="2352675" cy="1447800"/>
            <wp:effectExtent l="0" t="0" r="9525" b="0"/>
            <wp:wrapSquare wrapText="bothSides"/>
            <wp:docPr id="7978451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45101"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52675" cy="1447800"/>
                    </a:xfrm>
                    <a:prstGeom prst="rect">
                      <a:avLst/>
                    </a:prstGeom>
                    <a:noFill/>
                  </pic:spPr>
                </pic:pic>
              </a:graphicData>
            </a:graphic>
          </wp:anchor>
        </w:drawing>
      </w:r>
      <w:r>
        <w:rPr>
          <w:rFonts w:hint="eastAsia" w:ascii="仿宋" w:hAnsi="仿宋"/>
          <w:shd w:val="clear" w:color="auto" w:fill="FFFFFF"/>
          <w:lang w:bidi="ar"/>
        </w:rPr>
        <w:t>9月29日，成都四川师大站静桉南TOD综合开发项目首批次顺利封顶。项目位于成都市锦江区，西靠静安路，紧邻轨道交通7号线、13号线四川师大站。项目总建筑面积15.33万平方米，建筑高度79.1米，对于改善住宅环境，吸引人才流入，提升城市品位具有十分重要的意义。项目建成后，将与成都的城市轨道交通一同完善城市配套功能，拉动区域经济发展，为锦江区发展注入新的活力。</w:t>
      </w:r>
    </w:p>
    <w:p w14:paraId="1B7EFE71">
      <w:pPr>
        <w:pStyle w:val="2"/>
        <w:numPr>
          <w:ilvl w:val="0"/>
          <w:numId w:val="5"/>
        </w:numPr>
        <w:rPr>
          <w:rFonts w:hint="eastAsia" w:ascii="仿宋" w:hAnsi="仿宋"/>
          <w:shd w:val="clear" w:color="auto" w:fill="FFFFFF"/>
          <w:lang w:bidi="ar"/>
        </w:rPr>
      </w:pPr>
      <w:bookmarkStart w:id="56" w:name="_Toc179548861"/>
      <w:bookmarkStart w:id="57" w:name="_Hlk179544259"/>
      <w:r>
        <w:rPr>
          <w:rFonts w:hint="eastAsia" w:ascii="仿宋" w:hAnsi="仿宋"/>
          <w:shd w:val="clear" w:color="auto" w:fill="FFFFFF"/>
          <w:lang w:bidi="ar"/>
        </w:rPr>
        <w:t>杭州余杭区首个地铁上盖安置房项目开工</w:t>
      </w:r>
      <w:bookmarkEnd w:id="56"/>
    </w:p>
    <w:bookmarkEnd w:id="57"/>
    <w:p w14:paraId="4FD5BCC7">
      <w:pPr>
        <w:pStyle w:val="48"/>
        <w:ind w:firstLine="0" w:firstLineChars="0"/>
        <w:rPr>
          <w:rFonts w:ascii="仿宋" w:hAnsi="仿宋"/>
          <w:shd w:val="clear" w:color="auto" w:fill="FFFFFF"/>
          <w:lang w:bidi="ar"/>
        </w:rPr>
      </w:pPr>
      <w:r>
        <w:rPr>
          <w:rFonts w:hint="eastAsia" w:ascii="仿宋" w:hAnsi="仿宋"/>
          <w:shd w:val="clear" w:color="auto" w:fill="FFFFFF"/>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44450</wp:posOffset>
            </wp:positionV>
            <wp:extent cx="2362200" cy="1447800"/>
            <wp:effectExtent l="0" t="0" r="0" b="0"/>
            <wp:wrapSquare wrapText="bothSides"/>
            <wp:docPr id="14396420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42071"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62200" cy="1447800"/>
                    </a:xfrm>
                    <a:prstGeom prst="rect">
                      <a:avLst/>
                    </a:prstGeom>
                    <a:noFill/>
                  </pic:spPr>
                </pic:pic>
              </a:graphicData>
            </a:graphic>
          </wp:anchor>
        </w:drawing>
      </w:r>
      <w:r>
        <w:rPr>
          <w:rFonts w:hint="eastAsia" w:ascii="仿宋" w:hAnsi="仿宋"/>
          <w:shd w:val="clear" w:color="auto" w:fill="FFFFFF"/>
          <w:lang w:bidi="ar"/>
        </w:rPr>
        <w:t>近日，由中建三局浙江有限公司承建的杭州地铁10号线上盖物业综合开发项目正式开工建设。项目位于杭州市余杭区良渚新城，系余杭区首个地铁上盖安置房项目，总建筑面积38.8万平方米，包含西区安置房、东区安置房，配建小学、配建幼儿园、商业邻里中心。项目规划“一芯+两轴+三核+三片+四节点”空间布局，通过增加空间序列和组团节点，打造错落有致的建筑群，设置了环绕整个园区的慢行步道，在拓展社区绿色空间的同时，将串联起场地内外所有的公园节点，使居民“推窗见绿，出门见园”。</w:t>
      </w:r>
    </w:p>
    <w:p w14:paraId="1855B074">
      <w:pPr>
        <w:pStyle w:val="2"/>
        <w:numPr>
          <w:ilvl w:val="0"/>
          <w:numId w:val="5"/>
        </w:numPr>
        <w:rPr>
          <w:rFonts w:hint="eastAsia" w:ascii="仿宋" w:hAnsi="仿宋"/>
          <w:shd w:val="clear" w:color="auto" w:fill="FFFFFF"/>
          <w:lang w:bidi="ar"/>
        </w:rPr>
      </w:pPr>
      <w:bookmarkStart w:id="58" w:name="_Toc179548862"/>
      <w:r>
        <w:rPr>
          <w:rFonts w:hint="eastAsia" w:ascii="仿宋" w:hAnsi="仿宋"/>
          <w:shd w:val="clear" w:color="auto" w:fill="FFFFFF"/>
          <w:lang w:bidi="ar"/>
        </w:rPr>
        <w:t>杭州城东地铁口地块控规由商业商务调整为保障房</w:t>
      </w:r>
      <w:bookmarkEnd w:id="58"/>
    </w:p>
    <w:p w14:paraId="65C02B9A">
      <w:pPr>
        <w:pStyle w:val="48"/>
        <w:ind w:firstLine="480"/>
        <w:rPr>
          <w:rFonts w:hint="eastAsia" w:ascii="仿宋" w:hAnsi="仿宋"/>
        </w:rPr>
      </w:pPr>
      <w:r>
        <w:rPr>
          <w:rFonts w:hint="eastAsia" w:ascii="仿宋" w:hAnsi="仿宋"/>
          <w:shd w:val="clear" w:color="auto" w:fill="FFFFFF"/>
          <w:lang w:bidi="ar"/>
        </w:rPr>
        <w:t>杭州市规划和自然资源局9月10日发布杭州市上城区牛田单元B1/B2/U21-07、G2-13、JG1603-G2-16、JG1603-G2-18a地块选址暨控规局部调整论证。杭州市牛田单元B1/B2/U21-07、G2-13、JG1603-G2-16.JG1603-G2-18a地块位于上城区牛田单元中北部，具体调整范围G2-13、JG1603-G2-16、JG1603-G2-18a地块位于德胜快速路南侧为德胜快速路防护绿地，B1/B2/U21-07地块位于JG1603-G2-16地块南侧，地块均位于德胜快速路与红普路西南角。本次控规局部调整是为更好地落实保障房供应，</w:t>
      </w:r>
      <w:bookmarkStart w:id="59" w:name="_Hlk179539327"/>
      <w:r>
        <w:rPr>
          <w:rFonts w:hint="eastAsia" w:ascii="仿宋" w:hAnsi="仿宋"/>
          <w:shd w:val="clear" w:color="auto" w:fill="FFFFFF"/>
          <w:lang w:bidi="ar"/>
        </w:rPr>
        <w:t>加大保障房配建力度</w:t>
      </w:r>
      <w:bookmarkEnd w:id="59"/>
      <w:r>
        <w:rPr>
          <w:rFonts w:hint="eastAsia" w:ascii="仿宋" w:hAnsi="仿宋"/>
          <w:shd w:val="clear" w:color="auto" w:fill="FFFFFF"/>
          <w:lang w:bidi="ar"/>
        </w:rPr>
        <w:t>，同时优化用地布局、集约土地利用，对涉及地块用地及相关指标进行控规局部调整。</w:t>
      </w:r>
    </w:p>
    <w:p w14:paraId="613248C2">
      <w:pPr>
        <w:widowControl/>
        <w:ind w:firstLine="480"/>
        <w:jc w:val="left"/>
        <w:rPr>
          <w:rFonts w:hint="eastAsia"/>
        </w:rPr>
      </w:pPr>
    </w:p>
    <w:p w14:paraId="5A7F9347">
      <w:pPr>
        <w:pStyle w:val="21"/>
        <w:shd w:val="clear" w:color="auto" w:fill="FFFFFF"/>
        <w:wordWrap w:val="0"/>
        <w:spacing w:before="0" w:beforeAutospacing="0" w:after="0" w:afterAutospacing="0"/>
        <w:ind w:firstLine="0" w:firstLineChars="0"/>
        <w:jc w:val="both"/>
        <w:rPr>
          <w:rFonts w:ascii="Arial" w:hAnsi="Arial" w:cs="Arial"/>
          <w:color w:val="222222"/>
          <w:sz w:val="28"/>
          <w:szCs w:val="28"/>
          <w:shd w:val="clear" w:color="auto" w:fill="FFFFFF"/>
          <w:lang w:bidi="ar"/>
        </w:rPr>
      </w:pPr>
    </w:p>
    <w:p w14:paraId="095C5CA6">
      <w:pPr>
        <w:pStyle w:val="21"/>
        <w:shd w:val="clear" w:color="auto" w:fill="FFFFFF"/>
        <w:spacing w:before="0" w:beforeAutospacing="0" w:after="0" w:afterAutospacing="0"/>
        <w:ind w:firstLine="434"/>
        <w:jc w:val="center"/>
        <w:rPr>
          <w:rFonts w:hint="eastAsia" w:ascii="仿宋" w:hAnsi="仿宋" w:eastAsia="仿宋" w:cs="Microsoft YaHei UI"/>
          <w:spacing w:val="7"/>
          <w:sz w:val="21"/>
          <w:szCs w:val="21"/>
        </w:rPr>
      </w:pPr>
    </w:p>
    <w:p w14:paraId="375AF285">
      <w:pPr>
        <w:pStyle w:val="21"/>
        <w:shd w:val="clear" w:color="auto" w:fill="FFFFFF"/>
        <w:spacing w:before="0" w:beforeAutospacing="0" w:after="0" w:afterAutospacing="0"/>
        <w:ind w:firstLine="434"/>
        <w:jc w:val="center"/>
        <w:rPr>
          <w:rFonts w:hint="eastAsia" w:ascii="仿宋" w:hAnsi="仿宋" w:eastAsia="仿宋" w:cs="Microsoft YaHei UI"/>
          <w:spacing w:val="7"/>
          <w:sz w:val="21"/>
          <w:szCs w:val="21"/>
        </w:rPr>
      </w:pPr>
    </w:p>
    <w:p w14:paraId="65D4908A">
      <w:pPr>
        <w:ind w:firstLine="480"/>
        <w:rPr>
          <w:rFonts w:hint="eastAsia" w:ascii="仿宋" w:hAnsi="仿宋"/>
          <w:szCs w:val="36"/>
        </w:rPr>
        <w:sectPr>
          <w:pgSz w:w="11906" w:h="16838"/>
          <w:pgMar w:top="1440" w:right="1800" w:bottom="1440" w:left="1800" w:header="1474" w:footer="964" w:gutter="0"/>
          <w:cols w:space="425" w:num="1"/>
          <w:docGrid w:type="lines" w:linePitch="326" w:charSpace="0"/>
        </w:sectPr>
      </w:pPr>
    </w:p>
    <w:p w14:paraId="492103A8">
      <w:pPr>
        <w:ind w:firstLine="480"/>
        <w:rPr>
          <w:rFonts w:hint="eastAsia" w:ascii="仿宋" w:hAnsi="仿宋"/>
          <w:szCs w:val="36"/>
        </w:rPr>
      </w:pPr>
      <w:r>
        <w:rPr>
          <w:rFonts w:hint="eastAsia" w:ascii="仿宋" w:hAnsi="仿宋"/>
          <w:szCs w:val="28"/>
        </w:rPr>
        <w:drawing>
          <wp:anchor distT="0" distB="0" distL="114300" distR="114300" simplePos="0" relativeHeight="251663360" behindDoc="1" locked="0" layoutInCell="1" allowOverlap="1">
            <wp:simplePos x="0" y="0"/>
            <wp:positionH relativeFrom="margin">
              <wp:align>center</wp:align>
            </wp:positionH>
            <wp:positionV relativeFrom="paragraph">
              <wp:posOffset>-901700</wp:posOffset>
            </wp:positionV>
            <wp:extent cx="7542530" cy="10664825"/>
            <wp:effectExtent l="0" t="0" r="127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2627" cy="10664867"/>
                    </a:xfrm>
                    <a:prstGeom prst="rect">
                      <a:avLst/>
                    </a:prstGeom>
                  </pic:spPr>
                </pic:pic>
              </a:graphicData>
            </a:graphic>
          </wp:anchor>
        </w:drawing>
      </w:r>
    </w:p>
    <w:p w14:paraId="2707E75A">
      <w:pPr>
        <w:ind w:firstLine="480"/>
        <w:rPr>
          <w:rFonts w:hint="eastAsia" w:ascii="仿宋" w:hAnsi="仿宋"/>
          <w:szCs w:val="36"/>
        </w:rPr>
      </w:pPr>
    </w:p>
    <w:p w14:paraId="62E4CC8B">
      <w:pPr>
        <w:ind w:firstLine="480"/>
        <w:rPr>
          <w:rFonts w:hint="eastAsia" w:ascii="仿宋" w:hAnsi="仿宋"/>
          <w:szCs w:val="28"/>
        </w:rPr>
      </w:pPr>
      <w:r>
        <w:rPr>
          <w:rFonts w:ascii="仿宋" w:hAnsi="仿宋"/>
        </w:rPr>
        <mc:AlternateContent>
          <mc:Choice Requires="wps">
            <w:drawing>
              <wp:anchor distT="45720" distB="45720" distL="114300" distR="114300" simplePos="0" relativeHeight="251664384" behindDoc="0" locked="0" layoutInCell="1" allowOverlap="1">
                <wp:simplePos x="0" y="0"/>
                <wp:positionH relativeFrom="column">
                  <wp:posOffset>1531620</wp:posOffset>
                </wp:positionH>
                <wp:positionV relativeFrom="paragraph">
                  <wp:posOffset>855980</wp:posOffset>
                </wp:positionV>
                <wp:extent cx="2106295" cy="1280160"/>
                <wp:effectExtent l="0" t="0" r="0" b="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6295" cy="1280160"/>
                        </a:xfrm>
                        <a:prstGeom prst="rect">
                          <a:avLst/>
                        </a:prstGeom>
                        <a:noFill/>
                        <a:ln w="9525">
                          <a:noFill/>
                          <a:miter lim="800000"/>
                        </a:ln>
                      </wps:spPr>
                      <wps:txbx>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120.6pt;margin-top:67.4pt;height:100.8pt;width:165.85pt;mso-wrap-distance-bottom:3.6pt;mso-wrap-distance-left:9pt;mso-wrap-distance-right:9pt;mso-wrap-distance-top:3.6pt;z-index:251664384;mso-width-relative:margin;mso-height-relative:margin;mso-width-percent:400;mso-height-percent:200;" filled="f" stroked="f" coordsize="21600,21600" o:gfxdata="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6187YAAAACwEAAA8AAAAAAAAAAQAgAAAAIgAAAGRycy9kb3ducmV2LnhtbFBLAQIUABQAAAAI&#10;AIdO4kAzxNFtJgIAACoEAAAOAAAAAAAAAAEAIAAAACcBAABkcnMvZTJvRG9jLnhtbFBLBQYAAAAA&#10;BgAGAFkBAAC/BQAAAAA=&#10;">
                <v:fill on="f" focussize="0,0"/>
                <v:stroke on="f" miterlimit="8" joinstyle="miter"/>
                <v:imagedata o:title=""/>
                <o:lock v:ext="edit" aspectratio="f"/>
                <v:textbox style="mso-fit-shape-to-text:t;">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仿宋_GB2312">
    <w:panose1 w:val="02000000000000000000"/>
    <w:charset w:val="86"/>
    <w:family w:val="auto"/>
    <w:pitch w:val="default"/>
    <w:sig w:usb0="A00002BF" w:usb1="184F6CFA" w:usb2="00000012" w:usb3="00000000" w:csb0="00040001" w:csb1="00000000"/>
  </w:font>
  <w:font w:name="方正仿宋_GBK">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458022"/>
      <w:docPartObj>
        <w:docPartGallery w:val="AutoText"/>
      </w:docPartObj>
    </w:sdtPr>
    <w:sdtContent>
      <w:p w14:paraId="5CB8950F">
        <w:pPr>
          <w:pStyle w:val="15"/>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810E90F">
    <w:pPr>
      <w:pStyle w:val="1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71D">
    <w:pPr>
      <w:pStyle w:val="1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645C">
    <w:pPr>
      <w:pStyle w:val="1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6754">
    <w:pPr>
      <w:pStyle w:val="16"/>
      <w:pBdr>
        <w:bottom w:val="none" w:color="auto" w:sz="0" w:space="0"/>
      </w:pBdr>
      <w:ind w:firstLine="480"/>
      <w:rPr>
        <w:rFonts w:hint="eastAsia"/>
      </w:rPr>
    </w:pPr>
    <w:r>
      <w:rPr>
        <w:rFonts w:hint="eastAsia" w:ascii="仿宋" w:hAnsi="仿宋"/>
        <w:sz w:val="24"/>
        <w:szCs w:val="36"/>
      </w:rPr>
      <w:drawing>
        <wp:anchor distT="0" distB="0" distL="114300" distR="114300" simplePos="0" relativeHeight="251660288"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1689270013" name="图片 168927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70013" name="图片 16892700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D5B50">
    <w:pPr>
      <w:pStyle w:val="16"/>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EC6D">
    <w:pPr>
      <w:pStyle w:val="16"/>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6C0">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2336"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435533951" name="图片 4355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3951" name="图片 43553395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F6C3">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1312"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948416721" name="图片 94841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16721" name="图片 9484167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2E20EA"/>
    <w:multiLevelType w:val="multilevel"/>
    <w:tmpl w:val="2C2E20EA"/>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CFD346D"/>
    <w:multiLevelType w:val="multilevel"/>
    <w:tmpl w:val="2CFD346D"/>
    <w:lvl w:ilvl="0" w:tentative="0">
      <w:start w:val="1"/>
      <w:numFmt w:val="bullet"/>
      <w:pStyle w:val="22"/>
      <w:lvlText w:val=""/>
      <w:lvlJc w:val="left"/>
      <w:pPr>
        <w:ind w:left="420" w:hanging="420"/>
      </w:pPr>
      <w:rPr>
        <w:rFonts w:hint="default" w:ascii="Wingdings" w:hAnsi="Wingdings"/>
      </w:rPr>
    </w:lvl>
    <w:lvl w:ilvl="1" w:tentative="0">
      <w:start w:val="1"/>
      <w:numFmt w:val="bullet"/>
      <w:pStyle w:val="18"/>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4BE28D2"/>
    <w:multiLevelType w:val="multilevel"/>
    <w:tmpl w:val="34BE28D2"/>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7B26074"/>
    <w:multiLevelType w:val="multilevel"/>
    <w:tmpl w:val="37B26074"/>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589933B9"/>
    <w:multiLevelType w:val="multilevel"/>
    <w:tmpl w:val="589933B9"/>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47"/>
    <w:rsid w:val="00000211"/>
    <w:rsid w:val="00001568"/>
    <w:rsid w:val="00003C2D"/>
    <w:rsid w:val="00004B22"/>
    <w:rsid w:val="00007B7E"/>
    <w:rsid w:val="000105CE"/>
    <w:rsid w:val="00010AAC"/>
    <w:rsid w:val="0001284A"/>
    <w:rsid w:val="0001370D"/>
    <w:rsid w:val="000167A1"/>
    <w:rsid w:val="000179F5"/>
    <w:rsid w:val="00020116"/>
    <w:rsid w:val="00020170"/>
    <w:rsid w:val="00020A19"/>
    <w:rsid w:val="00020B19"/>
    <w:rsid w:val="0002155E"/>
    <w:rsid w:val="00023A7E"/>
    <w:rsid w:val="00025B53"/>
    <w:rsid w:val="0002641E"/>
    <w:rsid w:val="00030514"/>
    <w:rsid w:val="000316B5"/>
    <w:rsid w:val="00032EF8"/>
    <w:rsid w:val="000369C6"/>
    <w:rsid w:val="00040674"/>
    <w:rsid w:val="000427BE"/>
    <w:rsid w:val="0004280B"/>
    <w:rsid w:val="00045767"/>
    <w:rsid w:val="00045A8D"/>
    <w:rsid w:val="00046852"/>
    <w:rsid w:val="00050D93"/>
    <w:rsid w:val="000524B4"/>
    <w:rsid w:val="000538A1"/>
    <w:rsid w:val="00055E97"/>
    <w:rsid w:val="00056742"/>
    <w:rsid w:val="00056B5A"/>
    <w:rsid w:val="00056DA1"/>
    <w:rsid w:val="00057A4A"/>
    <w:rsid w:val="00060FE7"/>
    <w:rsid w:val="000614BF"/>
    <w:rsid w:val="00061828"/>
    <w:rsid w:val="00061B91"/>
    <w:rsid w:val="0006310C"/>
    <w:rsid w:val="000669D2"/>
    <w:rsid w:val="000726E2"/>
    <w:rsid w:val="00081D97"/>
    <w:rsid w:val="00082B29"/>
    <w:rsid w:val="00083A19"/>
    <w:rsid w:val="00086765"/>
    <w:rsid w:val="00087FE4"/>
    <w:rsid w:val="000914A2"/>
    <w:rsid w:val="00091F60"/>
    <w:rsid w:val="00093D0D"/>
    <w:rsid w:val="00093EE1"/>
    <w:rsid w:val="00094049"/>
    <w:rsid w:val="0009499A"/>
    <w:rsid w:val="0009540A"/>
    <w:rsid w:val="000A047E"/>
    <w:rsid w:val="000A2D6E"/>
    <w:rsid w:val="000A75E6"/>
    <w:rsid w:val="000B3882"/>
    <w:rsid w:val="000B496D"/>
    <w:rsid w:val="000B4FD2"/>
    <w:rsid w:val="000B6379"/>
    <w:rsid w:val="000C0EEA"/>
    <w:rsid w:val="000C125E"/>
    <w:rsid w:val="000C362F"/>
    <w:rsid w:val="000C3CB1"/>
    <w:rsid w:val="000C51DD"/>
    <w:rsid w:val="000C5490"/>
    <w:rsid w:val="000C5E30"/>
    <w:rsid w:val="000C5E75"/>
    <w:rsid w:val="000C5F7A"/>
    <w:rsid w:val="000C5FD7"/>
    <w:rsid w:val="000C68CD"/>
    <w:rsid w:val="000D1385"/>
    <w:rsid w:val="000D3D83"/>
    <w:rsid w:val="000D5176"/>
    <w:rsid w:val="000E36D6"/>
    <w:rsid w:val="000E56C7"/>
    <w:rsid w:val="000F1676"/>
    <w:rsid w:val="000F2AB9"/>
    <w:rsid w:val="000F308B"/>
    <w:rsid w:val="000F3E0B"/>
    <w:rsid w:val="00100243"/>
    <w:rsid w:val="001033B2"/>
    <w:rsid w:val="00103BF8"/>
    <w:rsid w:val="00103E77"/>
    <w:rsid w:val="001043E4"/>
    <w:rsid w:val="00106410"/>
    <w:rsid w:val="00107286"/>
    <w:rsid w:val="00107304"/>
    <w:rsid w:val="00111E43"/>
    <w:rsid w:val="00112E2E"/>
    <w:rsid w:val="001131BA"/>
    <w:rsid w:val="00113380"/>
    <w:rsid w:val="00116136"/>
    <w:rsid w:val="0012111B"/>
    <w:rsid w:val="00123F59"/>
    <w:rsid w:val="00124FB2"/>
    <w:rsid w:val="00126B7C"/>
    <w:rsid w:val="0012710F"/>
    <w:rsid w:val="00132F9D"/>
    <w:rsid w:val="00134FAD"/>
    <w:rsid w:val="001362C7"/>
    <w:rsid w:val="00140AE2"/>
    <w:rsid w:val="00141DC7"/>
    <w:rsid w:val="00141E1E"/>
    <w:rsid w:val="00142817"/>
    <w:rsid w:val="0014422F"/>
    <w:rsid w:val="00145315"/>
    <w:rsid w:val="00145DE7"/>
    <w:rsid w:val="00146C3F"/>
    <w:rsid w:val="001505DE"/>
    <w:rsid w:val="00150636"/>
    <w:rsid w:val="00150B2A"/>
    <w:rsid w:val="00152E8F"/>
    <w:rsid w:val="00152F3F"/>
    <w:rsid w:val="00153066"/>
    <w:rsid w:val="00153CF3"/>
    <w:rsid w:val="00154120"/>
    <w:rsid w:val="0015538D"/>
    <w:rsid w:val="001559B7"/>
    <w:rsid w:val="00156EFD"/>
    <w:rsid w:val="00160642"/>
    <w:rsid w:val="0016196D"/>
    <w:rsid w:val="00161ED1"/>
    <w:rsid w:val="001621A8"/>
    <w:rsid w:val="0016383E"/>
    <w:rsid w:val="00163882"/>
    <w:rsid w:val="001649C1"/>
    <w:rsid w:val="001650F2"/>
    <w:rsid w:val="00165B1D"/>
    <w:rsid w:val="00167173"/>
    <w:rsid w:val="001718B5"/>
    <w:rsid w:val="00171ABF"/>
    <w:rsid w:val="00172080"/>
    <w:rsid w:val="00172726"/>
    <w:rsid w:val="00175AC8"/>
    <w:rsid w:val="00175F6C"/>
    <w:rsid w:val="001778D0"/>
    <w:rsid w:val="00177C22"/>
    <w:rsid w:val="0018279E"/>
    <w:rsid w:val="0018323F"/>
    <w:rsid w:val="00185906"/>
    <w:rsid w:val="00186342"/>
    <w:rsid w:val="001868C6"/>
    <w:rsid w:val="00186950"/>
    <w:rsid w:val="0018796D"/>
    <w:rsid w:val="00190296"/>
    <w:rsid w:val="00190A78"/>
    <w:rsid w:val="00191D87"/>
    <w:rsid w:val="00192D2D"/>
    <w:rsid w:val="001933EA"/>
    <w:rsid w:val="001960CC"/>
    <w:rsid w:val="0019690B"/>
    <w:rsid w:val="001A324B"/>
    <w:rsid w:val="001A40BD"/>
    <w:rsid w:val="001A57AA"/>
    <w:rsid w:val="001B093C"/>
    <w:rsid w:val="001B1248"/>
    <w:rsid w:val="001B1CCB"/>
    <w:rsid w:val="001B3A5A"/>
    <w:rsid w:val="001B3B2E"/>
    <w:rsid w:val="001B45D4"/>
    <w:rsid w:val="001C107B"/>
    <w:rsid w:val="001C356E"/>
    <w:rsid w:val="001C49E7"/>
    <w:rsid w:val="001C4EB5"/>
    <w:rsid w:val="001C6E97"/>
    <w:rsid w:val="001C7EDF"/>
    <w:rsid w:val="001D00A6"/>
    <w:rsid w:val="001D0525"/>
    <w:rsid w:val="001D18DF"/>
    <w:rsid w:val="001D216E"/>
    <w:rsid w:val="001D24BB"/>
    <w:rsid w:val="001D2A30"/>
    <w:rsid w:val="001D2C8C"/>
    <w:rsid w:val="001D32C1"/>
    <w:rsid w:val="001D3587"/>
    <w:rsid w:val="001D66D9"/>
    <w:rsid w:val="001E407C"/>
    <w:rsid w:val="001E4108"/>
    <w:rsid w:val="001E41C9"/>
    <w:rsid w:val="001E7607"/>
    <w:rsid w:val="001F2200"/>
    <w:rsid w:val="001F2F73"/>
    <w:rsid w:val="001F35F5"/>
    <w:rsid w:val="001F65AA"/>
    <w:rsid w:val="001F6DB7"/>
    <w:rsid w:val="001F6FDA"/>
    <w:rsid w:val="001F737F"/>
    <w:rsid w:val="001F7E1D"/>
    <w:rsid w:val="0020031A"/>
    <w:rsid w:val="00200B3A"/>
    <w:rsid w:val="00200BAC"/>
    <w:rsid w:val="00202A0D"/>
    <w:rsid w:val="00203787"/>
    <w:rsid w:val="002044A2"/>
    <w:rsid w:val="00205096"/>
    <w:rsid w:val="00205D7B"/>
    <w:rsid w:val="002100D0"/>
    <w:rsid w:val="002110B8"/>
    <w:rsid w:val="00211BD9"/>
    <w:rsid w:val="00213E59"/>
    <w:rsid w:val="00217B5A"/>
    <w:rsid w:val="0022046D"/>
    <w:rsid w:val="00220E63"/>
    <w:rsid w:val="002219E7"/>
    <w:rsid w:val="002225CC"/>
    <w:rsid w:val="00223264"/>
    <w:rsid w:val="002255E3"/>
    <w:rsid w:val="0022783B"/>
    <w:rsid w:val="0023223B"/>
    <w:rsid w:val="002342C7"/>
    <w:rsid w:val="00236567"/>
    <w:rsid w:val="00237A64"/>
    <w:rsid w:val="00240334"/>
    <w:rsid w:val="0024504B"/>
    <w:rsid w:val="00253138"/>
    <w:rsid w:val="0025581B"/>
    <w:rsid w:val="00255E7A"/>
    <w:rsid w:val="00256978"/>
    <w:rsid w:val="00257CEB"/>
    <w:rsid w:val="00257DEF"/>
    <w:rsid w:val="00260182"/>
    <w:rsid w:val="00260388"/>
    <w:rsid w:val="0026238C"/>
    <w:rsid w:val="00264660"/>
    <w:rsid w:val="002647AE"/>
    <w:rsid w:val="00264A8E"/>
    <w:rsid w:val="00265326"/>
    <w:rsid w:val="00266710"/>
    <w:rsid w:val="002669ED"/>
    <w:rsid w:val="00267014"/>
    <w:rsid w:val="00271D68"/>
    <w:rsid w:val="00272E6C"/>
    <w:rsid w:val="0027422E"/>
    <w:rsid w:val="00274372"/>
    <w:rsid w:val="00275363"/>
    <w:rsid w:val="00276494"/>
    <w:rsid w:val="002777FB"/>
    <w:rsid w:val="00280205"/>
    <w:rsid w:val="0028432E"/>
    <w:rsid w:val="002850A9"/>
    <w:rsid w:val="00286D65"/>
    <w:rsid w:val="0028729D"/>
    <w:rsid w:val="00290024"/>
    <w:rsid w:val="0029076B"/>
    <w:rsid w:val="00291C03"/>
    <w:rsid w:val="00291DE6"/>
    <w:rsid w:val="00292684"/>
    <w:rsid w:val="00292C4B"/>
    <w:rsid w:val="0029364F"/>
    <w:rsid w:val="002969DF"/>
    <w:rsid w:val="002A07BE"/>
    <w:rsid w:val="002A3779"/>
    <w:rsid w:val="002A3A67"/>
    <w:rsid w:val="002A43D3"/>
    <w:rsid w:val="002A5010"/>
    <w:rsid w:val="002A6019"/>
    <w:rsid w:val="002A6410"/>
    <w:rsid w:val="002B090E"/>
    <w:rsid w:val="002B09AB"/>
    <w:rsid w:val="002B1CB4"/>
    <w:rsid w:val="002B30DB"/>
    <w:rsid w:val="002C05A0"/>
    <w:rsid w:val="002C05DB"/>
    <w:rsid w:val="002C0652"/>
    <w:rsid w:val="002C0ED7"/>
    <w:rsid w:val="002C2027"/>
    <w:rsid w:val="002C3274"/>
    <w:rsid w:val="002C337D"/>
    <w:rsid w:val="002C42DE"/>
    <w:rsid w:val="002C58C5"/>
    <w:rsid w:val="002C6A08"/>
    <w:rsid w:val="002C7227"/>
    <w:rsid w:val="002C76DD"/>
    <w:rsid w:val="002C7A99"/>
    <w:rsid w:val="002C7B14"/>
    <w:rsid w:val="002D4B08"/>
    <w:rsid w:val="002D719B"/>
    <w:rsid w:val="002D7763"/>
    <w:rsid w:val="002E0518"/>
    <w:rsid w:val="002E614C"/>
    <w:rsid w:val="002E6731"/>
    <w:rsid w:val="002E694D"/>
    <w:rsid w:val="002F0257"/>
    <w:rsid w:val="002F4757"/>
    <w:rsid w:val="002F573D"/>
    <w:rsid w:val="002F583E"/>
    <w:rsid w:val="002F706A"/>
    <w:rsid w:val="002F7B7C"/>
    <w:rsid w:val="00300A80"/>
    <w:rsid w:val="00303169"/>
    <w:rsid w:val="003039F9"/>
    <w:rsid w:val="00305923"/>
    <w:rsid w:val="00306B23"/>
    <w:rsid w:val="00311785"/>
    <w:rsid w:val="003139DD"/>
    <w:rsid w:val="003149E4"/>
    <w:rsid w:val="003157CE"/>
    <w:rsid w:val="00317A3E"/>
    <w:rsid w:val="00320E72"/>
    <w:rsid w:val="00321DA6"/>
    <w:rsid w:val="00322216"/>
    <w:rsid w:val="00322E4C"/>
    <w:rsid w:val="003239A0"/>
    <w:rsid w:val="00323E90"/>
    <w:rsid w:val="00323EC7"/>
    <w:rsid w:val="003242D6"/>
    <w:rsid w:val="003249E8"/>
    <w:rsid w:val="00324B9E"/>
    <w:rsid w:val="00324DA5"/>
    <w:rsid w:val="00326F5D"/>
    <w:rsid w:val="00330F21"/>
    <w:rsid w:val="00331342"/>
    <w:rsid w:val="00331449"/>
    <w:rsid w:val="00332004"/>
    <w:rsid w:val="003321A7"/>
    <w:rsid w:val="00332C88"/>
    <w:rsid w:val="00333DA3"/>
    <w:rsid w:val="0033406B"/>
    <w:rsid w:val="0033463C"/>
    <w:rsid w:val="0033582F"/>
    <w:rsid w:val="00335855"/>
    <w:rsid w:val="00335991"/>
    <w:rsid w:val="00337A0A"/>
    <w:rsid w:val="00341144"/>
    <w:rsid w:val="003428F7"/>
    <w:rsid w:val="003430D7"/>
    <w:rsid w:val="00343C17"/>
    <w:rsid w:val="0034518F"/>
    <w:rsid w:val="003479E9"/>
    <w:rsid w:val="00350E10"/>
    <w:rsid w:val="00352AF2"/>
    <w:rsid w:val="00354035"/>
    <w:rsid w:val="003577B3"/>
    <w:rsid w:val="00357A7D"/>
    <w:rsid w:val="00357F61"/>
    <w:rsid w:val="00363164"/>
    <w:rsid w:val="0036407A"/>
    <w:rsid w:val="00364FEE"/>
    <w:rsid w:val="00365033"/>
    <w:rsid w:val="00366E6A"/>
    <w:rsid w:val="0036704F"/>
    <w:rsid w:val="0037096F"/>
    <w:rsid w:val="00372B43"/>
    <w:rsid w:val="0037378C"/>
    <w:rsid w:val="00373C22"/>
    <w:rsid w:val="00375A81"/>
    <w:rsid w:val="003761FE"/>
    <w:rsid w:val="00380CD5"/>
    <w:rsid w:val="00381DB2"/>
    <w:rsid w:val="00382227"/>
    <w:rsid w:val="00382251"/>
    <w:rsid w:val="0038233B"/>
    <w:rsid w:val="00383E27"/>
    <w:rsid w:val="00385257"/>
    <w:rsid w:val="003854D5"/>
    <w:rsid w:val="0038573F"/>
    <w:rsid w:val="00386A93"/>
    <w:rsid w:val="0038727F"/>
    <w:rsid w:val="003878F7"/>
    <w:rsid w:val="00390374"/>
    <w:rsid w:val="00390461"/>
    <w:rsid w:val="00390822"/>
    <w:rsid w:val="003923B9"/>
    <w:rsid w:val="003961DA"/>
    <w:rsid w:val="00397279"/>
    <w:rsid w:val="003A1BAF"/>
    <w:rsid w:val="003A2BF3"/>
    <w:rsid w:val="003A312C"/>
    <w:rsid w:val="003A34D3"/>
    <w:rsid w:val="003A46A3"/>
    <w:rsid w:val="003A47AA"/>
    <w:rsid w:val="003B1145"/>
    <w:rsid w:val="003B206F"/>
    <w:rsid w:val="003B29D6"/>
    <w:rsid w:val="003B2E3A"/>
    <w:rsid w:val="003B562B"/>
    <w:rsid w:val="003B5B76"/>
    <w:rsid w:val="003B704F"/>
    <w:rsid w:val="003C0AD6"/>
    <w:rsid w:val="003C0D71"/>
    <w:rsid w:val="003C20EB"/>
    <w:rsid w:val="003C3151"/>
    <w:rsid w:val="003C5283"/>
    <w:rsid w:val="003C52B6"/>
    <w:rsid w:val="003C59E0"/>
    <w:rsid w:val="003C5C1A"/>
    <w:rsid w:val="003D1EAC"/>
    <w:rsid w:val="003D2128"/>
    <w:rsid w:val="003D2C50"/>
    <w:rsid w:val="003D34F2"/>
    <w:rsid w:val="003D3AB5"/>
    <w:rsid w:val="003D4CEF"/>
    <w:rsid w:val="003D5918"/>
    <w:rsid w:val="003D5C57"/>
    <w:rsid w:val="003D608E"/>
    <w:rsid w:val="003D7D39"/>
    <w:rsid w:val="003E019A"/>
    <w:rsid w:val="003E1D9D"/>
    <w:rsid w:val="003E24EB"/>
    <w:rsid w:val="003E2C3F"/>
    <w:rsid w:val="003E6A00"/>
    <w:rsid w:val="003E6D43"/>
    <w:rsid w:val="003E7F65"/>
    <w:rsid w:val="003F24F5"/>
    <w:rsid w:val="003F2ABF"/>
    <w:rsid w:val="003F7392"/>
    <w:rsid w:val="004016E9"/>
    <w:rsid w:val="00401A8D"/>
    <w:rsid w:val="004021F5"/>
    <w:rsid w:val="0040386C"/>
    <w:rsid w:val="004125EA"/>
    <w:rsid w:val="00412BCF"/>
    <w:rsid w:val="004151C5"/>
    <w:rsid w:val="00421369"/>
    <w:rsid w:val="00421EDF"/>
    <w:rsid w:val="00422F46"/>
    <w:rsid w:val="00424653"/>
    <w:rsid w:val="00426EF7"/>
    <w:rsid w:val="00431320"/>
    <w:rsid w:val="0043303D"/>
    <w:rsid w:val="0043343F"/>
    <w:rsid w:val="00433C26"/>
    <w:rsid w:val="00433D49"/>
    <w:rsid w:val="00433D7C"/>
    <w:rsid w:val="00434B6A"/>
    <w:rsid w:val="004356DC"/>
    <w:rsid w:val="004363B4"/>
    <w:rsid w:val="004406D7"/>
    <w:rsid w:val="00440D76"/>
    <w:rsid w:val="00443E12"/>
    <w:rsid w:val="00445263"/>
    <w:rsid w:val="00446166"/>
    <w:rsid w:val="0044699D"/>
    <w:rsid w:val="00446DEC"/>
    <w:rsid w:val="00447584"/>
    <w:rsid w:val="0044778B"/>
    <w:rsid w:val="004504DA"/>
    <w:rsid w:val="00453786"/>
    <w:rsid w:val="004555BF"/>
    <w:rsid w:val="00456552"/>
    <w:rsid w:val="00456BFD"/>
    <w:rsid w:val="00456C7A"/>
    <w:rsid w:val="0046071D"/>
    <w:rsid w:val="0046185A"/>
    <w:rsid w:val="0046208B"/>
    <w:rsid w:val="0046275D"/>
    <w:rsid w:val="004631D6"/>
    <w:rsid w:val="00466438"/>
    <w:rsid w:val="00467382"/>
    <w:rsid w:val="00470A85"/>
    <w:rsid w:val="00471588"/>
    <w:rsid w:val="00473E3F"/>
    <w:rsid w:val="004740A0"/>
    <w:rsid w:val="00475696"/>
    <w:rsid w:val="00480BE7"/>
    <w:rsid w:val="00480C91"/>
    <w:rsid w:val="00483700"/>
    <w:rsid w:val="00487C98"/>
    <w:rsid w:val="0049197F"/>
    <w:rsid w:val="0049246C"/>
    <w:rsid w:val="00494AAC"/>
    <w:rsid w:val="004A03BC"/>
    <w:rsid w:val="004A11BD"/>
    <w:rsid w:val="004A1BC0"/>
    <w:rsid w:val="004A262B"/>
    <w:rsid w:val="004A2658"/>
    <w:rsid w:val="004A2D7E"/>
    <w:rsid w:val="004A4184"/>
    <w:rsid w:val="004A585F"/>
    <w:rsid w:val="004A719D"/>
    <w:rsid w:val="004B0372"/>
    <w:rsid w:val="004B5233"/>
    <w:rsid w:val="004B7F78"/>
    <w:rsid w:val="004C0D1E"/>
    <w:rsid w:val="004C4A0F"/>
    <w:rsid w:val="004C504A"/>
    <w:rsid w:val="004D17F0"/>
    <w:rsid w:val="004D2074"/>
    <w:rsid w:val="004D283E"/>
    <w:rsid w:val="004D2AA0"/>
    <w:rsid w:val="004D30B4"/>
    <w:rsid w:val="004D3260"/>
    <w:rsid w:val="004D4111"/>
    <w:rsid w:val="004D5E8E"/>
    <w:rsid w:val="004D60C1"/>
    <w:rsid w:val="004D79DA"/>
    <w:rsid w:val="004E058B"/>
    <w:rsid w:val="004E1C3C"/>
    <w:rsid w:val="004E400C"/>
    <w:rsid w:val="004E4AE1"/>
    <w:rsid w:val="004E513A"/>
    <w:rsid w:val="004E5211"/>
    <w:rsid w:val="004E52A4"/>
    <w:rsid w:val="004E5FB0"/>
    <w:rsid w:val="004F06AD"/>
    <w:rsid w:val="004F1BF3"/>
    <w:rsid w:val="004F4189"/>
    <w:rsid w:val="004F6A45"/>
    <w:rsid w:val="004F6E79"/>
    <w:rsid w:val="004F7C1B"/>
    <w:rsid w:val="005008C7"/>
    <w:rsid w:val="005010A0"/>
    <w:rsid w:val="0050112D"/>
    <w:rsid w:val="005031C1"/>
    <w:rsid w:val="005055AE"/>
    <w:rsid w:val="00505C47"/>
    <w:rsid w:val="00507EDF"/>
    <w:rsid w:val="00510414"/>
    <w:rsid w:val="00510A01"/>
    <w:rsid w:val="00513E0F"/>
    <w:rsid w:val="00513FED"/>
    <w:rsid w:val="00516116"/>
    <w:rsid w:val="0051624E"/>
    <w:rsid w:val="00520436"/>
    <w:rsid w:val="005209BF"/>
    <w:rsid w:val="00521707"/>
    <w:rsid w:val="005300BE"/>
    <w:rsid w:val="005300D0"/>
    <w:rsid w:val="0053262F"/>
    <w:rsid w:val="00534C81"/>
    <w:rsid w:val="00536790"/>
    <w:rsid w:val="00536A4B"/>
    <w:rsid w:val="00537C6D"/>
    <w:rsid w:val="005416A6"/>
    <w:rsid w:val="00542ED1"/>
    <w:rsid w:val="00544671"/>
    <w:rsid w:val="005466C6"/>
    <w:rsid w:val="00546EF4"/>
    <w:rsid w:val="00547AF8"/>
    <w:rsid w:val="0055154E"/>
    <w:rsid w:val="005536CA"/>
    <w:rsid w:val="00553C16"/>
    <w:rsid w:val="005555DA"/>
    <w:rsid w:val="005564D0"/>
    <w:rsid w:val="00557B55"/>
    <w:rsid w:val="005602DB"/>
    <w:rsid w:val="0056236A"/>
    <w:rsid w:val="0056315E"/>
    <w:rsid w:val="00564311"/>
    <w:rsid w:val="0056431B"/>
    <w:rsid w:val="00567995"/>
    <w:rsid w:val="00570F60"/>
    <w:rsid w:val="00572350"/>
    <w:rsid w:val="00574F22"/>
    <w:rsid w:val="00574FA0"/>
    <w:rsid w:val="0057581D"/>
    <w:rsid w:val="00575BAB"/>
    <w:rsid w:val="005768EE"/>
    <w:rsid w:val="005800C5"/>
    <w:rsid w:val="005816C8"/>
    <w:rsid w:val="0058267C"/>
    <w:rsid w:val="00585D89"/>
    <w:rsid w:val="00586F79"/>
    <w:rsid w:val="0059078E"/>
    <w:rsid w:val="00590AF7"/>
    <w:rsid w:val="00590B16"/>
    <w:rsid w:val="00593BE5"/>
    <w:rsid w:val="00594AD1"/>
    <w:rsid w:val="00595DC6"/>
    <w:rsid w:val="00596104"/>
    <w:rsid w:val="005A2469"/>
    <w:rsid w:val="005A3A2B"/>
    <w:rsid w:val="005A460E"/>
    <w:rsid w:val="005A4745"/>
    <w:rsid w:val="005A4BD7"/>
    <w:rsid w:val="005A5CC0"/>
    <w:rsid w:val="005A798F"/>
    <w:rsid w:val="005B298F"/>
    <w:rsid w:val="005B2EB5"/>
    <w:rsid w:val="005B2FB0"/>
    <w:rsid w:val="005B517C"/>
    <w:rsid w:val="005B6F5A"/>
    <w:rsid w:val="005C2D87"/>
    <w:rsid w:val="005C3084"/>
    <w:rsid w:val="005C3259"/>
    <w:rsid w:val="005C4024"/>
    <w:rsid w:val="005D1D46"/>
    <w:rsid w:val="005D1D54"/>
    <w:rsid w:val="005D2063"/>
    <w:rsid w:val="005D2DE3"/>
    <w:rsid w:val="005D46A6"/>
    <w:rsid w:val="005D5778"/>
    <w:rsid w:val="005D5E1F"/>
    <w:rsid w:val="005D5EB1"/>
    <w:rsid w:val="005D6BA7"/>
    <w:rsid w:val="005D7E94"/>
    <w:rsid w:val="005E0338"/>
    <w:rsid w:val="005E2E3C"/>
    <w:rsid w:val="005E4146"/>
    <w:rsid w:val="005E5553"/>
    <w:rsid w:val="005E5A3D"/>
    <w:rsid w:val="005E5A86"/>
    <w:rsid w:val="005E6076"/>
    <w:rsid w:val="005E6A41"/>
    <w:rsid w:val="005E7777"/>
    <w:rsid w:val="005F00FE"/>
    <w:rsid w:val="005F2C40"/>
    <w:rsid w:val="005F444C"/>
    <w:rsid w:val="005F6480"/>
    <w:rsid w:val="005F747A"/>
    <w:rsid w:val="0060105A"/>
    <w:rsid w:val="00604607"/>
    <w:rsid w:val="006053F8"/>
    <w:rsid w:val="00607BFC"/>
    <w:rsid w:val="00611587"/>
    <w:rsid w:val="0061196F"/>
    <w:rsid w:val="006161F5"/>
    <w:rsid w:val="00616374"/>
    <w:rsid w:val="006166B3"/>
    <w:rsid w:val="00622A1C"/>
    <w:rsid w:val="00622FAB"/>
    <w:rsid w:val="00624131"/>
    <w:rsid w:val="0062558C"/>
    <w:rsid w:val="00625775"/>
    <w:rsid w:val="00626B48"/>
    <w:rsid w:val="00631262"/>
    <w:rsid w:val="00632758"/>
    <w:rsid w:val="00632C62"/>
    <w:rsid w:val="00633B6F"/>
    <w:rsid w:val="00634136"/>
    <w:rsid w:val="006343AB"/>
    <w:rsid w:val="006368E0"/>
    <w:rsid w:val="00640157"/>
    <w:rsid w:val="00650216"/>
    <w:rsid w:val="006517D7"/>
    <w:rsid w:val="0065285A"/>
    <w:rsid w:val="00652E08"/>
    <w:rsid w:val="00653D4E"/>
    <w:rsid w:val="00654FA3"/>
    <w:rsid w:val="006550AE"/>
    <w:rsid w:val="006562C3"/>
    <w:rsid w:val="006566D5"/>
    <w:rsid w:val="00660033"/>
    <w:rsid w:val="00660BFF"/>
    <w:rsid w:val="00664195"/>
    <w:rsid w:val="00664221"/>
    <w:rsid w:val="006661CB"/>
    <w:rsid w:val="006667B6"/>
    <w:rsid w:val="00666FC1"/>
    <w:rsid w:val="00667EAB"/>
    <w:rsid w:val="00670959"/>
    <w:rsid w:val="00671250"/>
    <w:rsid w:val="00675562"/>
    <w:rsid w:val="006755CA"/>
    <w:rsid w:val="00675F65"/>
    <w:rsid w:val="00676279"/>
    <w:rsid w:val="0068000B"/>
    <w:rsid w:val="0068157C"/>
    <w:rsid w:val="006821B7"/>
    <w:rsid w:val="006822B9"/>
    <w:rsid w:val="006831D0"/>
    <w:rsid w:val="0068352E"/>
    <w:rsid w:val="006847D7"/>
    <w:rsid w:val="0068578C"/>
    <w:rsid w:val="00686AC0"/>
    <w:rsid w:val="00687835"/>
    <w:rsid w:val="00687B84"/>
    <w:rsid w:val="00690964"/>
    <w:rsid w:val="006927DD"/>
    <w:rsid w:val="00693B3A"/>
    <w:rsid w:val="00694EDD"/>
    <w:rsid w:val="00695EA9"/>
    <w:rsid w:val="006961E1"/>
    <w:rsid w:val="006971CD"/>
    <w:rsid w:val="006A1B71"/>
    <w:rsid w:val="006A2736"/>
    <w:rsid w:val="006A36D7"/>
    <w:rsid w:val="006A437B"/>
    <w:rsid w:val="006A5427"/>
    <w:rsid w:val="006A704B"/>
    <w:rsid w:val="006A7A72"/>
    <w:rsid w:val="006B0561"/>
    <w:rsid w:val="006B0D0E"/>
    <w:rsid w:val="006B1DB5"/>
    <w:rsid w:val="006B300D"/>
    <w:rsid w:val="006B4215"/>
    <w:rsid w:val="006B4675"/>
    <w:rsid w:val="006B5112"/>
    <w:rsid w:val="006B592A"/>
    <w:rsid w:val="006B626C"/>
    <w:rsid w:val="006B74B9"/>
    <w:rsid w:val="006C07B3"/>
    <w:rsid w:val="006C133B"/>
    <w:rsid w:val="006C1E5A"/>
    <w:rsid w:val="006C23C7"/>
    <w:rsid w:val="006C2E3D"/>
    <w:rsid w:val="006C7321"/>
    <w:rsid w:val="006C7812"/>
    <w:rsid w:val="006C7E08"/>
    <w:rsid w:val="006C7E9C"/>
    <w:rsid w:val="006D22E9"/>
    <w:rsid w:val="006D232A"/>
    <w:rsid w:val="006D45C5"/>
    <w:rsid w:val="006D4965"/>
    <w:rsid w:val="006D63A1"/>
    <w:rsid w:val="006D67E7"/>
    <w:rsid w:val="006D78FA"/>
    <w:rsid w:val="006E0703"/>
    <w:rsid w:val="006E0E8A"/>
    <w:rsid w:val="006E1160"/>
    <w:rsid w:val="006E25B0"/>
    <w:rsid w:val="006E31E1"/>
    <w:rsid w:val="006E34BA"/>
    <w:rsid w:val="006E4813"/>
    <w:rsid w:val="006E553C"/>
    <w:rsid w:val="006E6E74"/>
    <w:rsid w:val="006E7E71"/>
    <w:rsid w:val="006F04BA"/>
    <w:rsid w:val="006F2E76"/>
    <w:rsid w:val="00701F36"/>
    <w:rsid w:val="0070302F"/>
    <w:rsid w:val="00705235"/>
    <w:rsid w:val="00705298"/>
    <w:rsid w:val="00706A45"/>
    <w:rsid w:val="00710F2B"/>
    <w:rsid w:val="00714778"/>
    <w:rsid w:val="0071525E"/>
    <w:rsid w:val="00715991"/>
    <w:rsid w:val="00716154"/>
    <w:rsid w:val="00716C6F"/>
    <w:rsid w:val="00717755"/>
    <w:rsid w:val="0072149C"/>
    <w:rsid w:val="0072163D"/>
    <w:rsid w:val="00721825"/>
    <w:rsid w:val="00722FC6"/>
    <w:rsid w:val="00725DEF"/>
    <w:rsid w:val="00726509"/>
    <w:rsid w:val="00726B4F"/>
    <w:rsid w:val="00727011"/>
    <w:rsid w:val="00730525"/>
    <w:rsid w:val="0073187E"/>
    <w:rsid w:val="007333DC"/>
    <w:rsid w:val="007344D9"/>
    <w:rsid w:val="00735987"/>
    <w:rsid w:val="00742A17"/>
    <w:rsid w:val="00742BC1"/>
    <w:rsid w:val="00742EBE"/>
    <w:rsid w:val="0074349D"/>
    <w:rsid w:val="007439B2"/>
    <w:rsid w:val="00743D43"/>
    <w:rsid w:val="00743EFE"/>
    <w:rsid w:val="0074565A"/>
    <w:rsid w:val="007500C7"/>
    <w:rsid w:val="0075084B"/>
    <w:rsid w:val="007544EA"/>
    <w:rsid w:val="007572A6"/>
    <w:rsid w:val="007601A0"/>
    <w:rsid w:val="0076223E"/>
    <w:rsid w:val="0076239F"/>
    <w:rsid w:val="00763212"/>
    <w:rsid w:val="00765953"/>
    <w:rsid w:val="00766336"/>
    <w:rsid w:val="00767139"/>
    <w:rsid w:val="0076741D"/>
    <w:rsid w:val="00770E57"/>
    <w:rsid w:val="00771B41"/>
    <w:rsid w:val="007723AA"/>
    <w:rsid w:val="00772FFD"/>
    <w:rsid w:val="0078404E"/>
    <w:rsid w:val="00785FB4"/>
    <w:rsid w:val="00786FF0"/>
    <w:rsid w:val="00787E29"/>
    <w:rsid w:val="00791280"/>
    <w:rsid w:val="00797020"/>
    <w:rsid w:val="00797D0C"/>
    <w:rsid w:val="007A17B7"/>
    <w:rsid w:val="007A17BC"/>
    <w:rsid w:val="007A2EDA"/>
    <w:rsid w:val="007A31E3"/>
    <w:rsid w:val="007A4564"/>
    <w:rsid w:val="007A548F"/>
    <w:rsid w:val="007A60E4"/>
    <w:rsid w:val="007A6F42"/>
    <w:rsid w:val="007A75D5"/>
    <w:rsid w:val="007A7951"/>
    <w:rsid w:val="007A79DA"/>
    <w:rsid w:val="007B0789"/>
    <w:rsid w:val="007B0F89"/>
    <w:rsid w:val="007B1600"/>
    <w:rsid w:val="007B1CC5"/>
    <w:rsid w:val="007B2839"/>
    <w:rsid w:val="007B28CB"/>
    <w:rsid w:val="007B484F"/>
    <w:rsid w:val="007B61B4"/>
    <w:rsid w:val="007B6595"/>
    <w:rsid w:val="007B6D8C"/>
    <w:rsid w:val="007B7333"/>
    <w:rsid w:val="007B7436"/>
    <w:rsid w:val="007C1CAB"/>
    <w:rsid w:val="007C26B7"/>
    <w:rsid w:val="007C34DD"/>
    <w:rsid w:val="007C5053"/>
    <w:rsid w:val="007C523F"/>
    <w:rsid w:val="007C5F3A"/>
    <w:rsid w:val="007C733F"/>
    <w:rsid w:val="007C7A4A"/>
    <w:rsid w:val="007D0305"/>
    <w:rsid w:val="007D0A1C"/>
    <w:rsid w:val="007D1640"/>
    <w:rsid w:val="007D2419"/>
    <w:rsid w:val="007D29AA"/>
    <w:rsid w:val="007D37CF"/>
    <w:rsid w:val="007D638D"/>
    <w:rsid w:val="007D6C07"/>
    <w:rsid w:val="007D79B5"/>
    <w:rsid w:val="007E2BCA"/>
    <w:rsid w:val="007E35EE"/>
    <w:rsid w:val="007E380B"/>
    <w:rsid w:val="007E4B55"/>
    <w:rsid w:val="007E71AF"/>
    <w:rsid w:val="007F1A34"/>
    <w:rsid w:val="007F1FC7"/>
    <w:rsid w:val="007F3C8B"/>
    <w:rsid w:val="007F723B"/>
    <w:rsid w:val="007F7465"/>
    <w:rsid w:val="007F7A04"/>
    <w:rsid w:val="007F7CE1"/>
    <w:rsid w:val="0080052E"/>
    <w:rsid w:val="00801076"/>
    <w:rsid w:val="00801234"/>
    <w:rsid w:val="008013AD"/>
    <w:rsid w:val="00801C5B"/>
    <w:rsid w:val="00802C92"/>
    <w:rsid w:val="008068A5"/>
    <w:rsid w:val="0080781C"/>
    <w:rsid w:val="0081002F"/>
    <w:rsid w:val="00811433"/>
    <w:rsid w:val="00813040"/>
    <w:rsid w:val="008135E3"/>
    <w:rsid w:val="00813D4B"/>
    <w:rsid w:val="008225A8"/>
    <w:rsid w:val="00824549"/>
    <w:rsid w:val="00827B9A"/>
    <w:rsid w:val="0083077F"/>
    <w:rsid w:val="00831920"/>
    <w:rsid w:val="008338DC"/>
    <w:rsid w:val="00834297"/>
    <w:rsid w:val="00834616"/>
    <w:rsid w:val="008359D7"/>
    <w:rsid w:val="008365E5"/>
    <w:rsid w:val="00836E4F"/>
    <w:rsid w:val="00837087"/>
    <w:rsid w:val="008371D4"/>
    <w:rsid w:val="008403B3"/>
    <w:rsid w:val="00841056"/>
    <w:rsid w:val="00842184"/>
    <w:rsid w:val="008429AE"/>
    <w:rsid w:val="00842E71"/>
    <w:rsid w:val="00844E68"/>
    <w:rsid w:val="00844EE1"/>
    <w:rsid w:val="008458D7"/>
    <w:rsid w:val="00845AF4"/>
    <w:rsid w:val="008503CA"/>
    <w:rsid w:val="00851865"/>
    <w:rsid w:val="00854AAB"/>
    <w:rsid w:val="00855A3E"/>
    <w:rsid w:val="008573FA"/>
    <w:rsid w:val="00857D4B"/>
    <w:rsid w:val="008635FF"/>
    <w:rsid w:val="008646DD"/>
    <w:rsid w:val="00864DC0"/>
    <w:rsid w:val="00864FBD"/>
    <w:rsid w:val="008652CF"/>
    <w:rsid w:val="00866D18"/>
    <w:rsid w:val="00866D35"/>
    <w:rsid w:val="00867D30"/>
    <w:rsid w:val="00872122"/>
    <w:rsid w:val="00872666"/>
    <w:rsid w:val="00875158"/>
    <w:rsid w:val="0087576D"/>
    <w:rsid w:val="008759EE"/>
    <w:rsid w:val="00875AF6"/>
    <w:rsid w:val="008768BB"/>
    <w:rsid w:val="00876A17"/>
    <w:rsid w:val="00882F5D"/>
    <w:rsid w:val="00883161"/>
    <w:rsid w:val="00884A3A"/>
    <w:rsid w:val="00884AAF"/>
    <w:rsid w:val="00885F04"/>
    <w:rsid w:val="00886770"/>
    <w:rsid w:val="0088694B"/>
    <w:rsid w:val="00886F31"/>
    <w:rsid w:val="0089078A"/>
    <w:rsid w:val="00891DC4"/>
    <w:rsid w:val="00895B09"/>
    <w:rsid w:val="008A2A87"/>
    <w:rsid w:val="008A36FF"/>
    <w:rsid w:val="008A4DF6"/>
    <w:rsid w:val="008A5E9B"/>
    <w:rsid w:val="008A5ED5"/>
    <w:rsid w:val="008A6524"/>
    <w:rsid w:val="008B156C"/>
    <w:rsid w:val="008B3424"/>
    <w:rsid w:val="008B4A48"/>
    <w:rsid w:val="008B7595"/>
    <w:rsid w:val="008B782D"/>
    <w:rsid w:val="008C2B9B"/>
    <w:rsid w:val="008C4AB0"/>
    <w:rsid w:val="008D00E8"/>
    <w:rsid w:val="008D0BC1"/>
    <w:rsid w:val="008D1025"/>
    <w:rsid w:val="008D375D"/>
    <w:rsid w:val="008D7019"/>
    <w:rsid w:val="008E2154"/>
    <w:rsid w:val="008E3C08"/>
    <w:rsid w:val="008E3F91"/>
    <w:rsid w:val="008E51E4"/>
    <w:rsid w:val="008E7026"/>
    <w:rsid w:val="008F0434"/>
    <w:rsid w:val="008F16CB"/>
    <w:rsid w:val="008F1DEE"/>
    <w:rsid w:val="008F524E"/>
    <w:rsid w:val="008F6560"/>
    <w:rsid w:val="008F6ACA"/>
    <w:rsid w:val="008F76CE"/>
    <w:rsid w:val="009012AF"/>
    <w:rsid w:val="00903B97"/>
    <w:rsid w:val="00904C88"/>
    <w:rsid w:val="00905252"/>
    <w:rsid w:val="00905BA5"/>
    <w:rsid w:val="0090726E"/>
    <w:rsid w:val="00907E91"/>
    <w:rsid w:val="00910347"/>
    <w:rsid w:val="00911590"/>
    <w:rsid w:val="0091759A"/>
    <w:rsid w:val="00917F59"/>
    <w:rsid w:val="009213E1"/>
    <w:rsid w:val="0092164E"/>
    <w:rsid w:val="0092201F"/>
    <w:rsid w:val="00922D8A"/>
    <w:rsid w:val="00922FA5"/>
    <w:rsid w:val="009232A4"/>
    <w:rsid w:val="00924677"/>
    <w:rsid w:val="0092522B"/>
    <w:rsid w:val="00932BDF"/>
    <w:rsid w:val="00936BD6"/>
    <w:rsid w:val="00937A28"/>
    <w:rsid w:val="009413CA"/>
    <w:rsid w:val="00942389"/>
    <w:rsid w:val="00944237"/>
    <w:rsid w:val="00944DBF"/>
    <w:rsid w:val="00944FF1"/>
    <w:rsid w:val="0094664B"/>
    <w:rsid w:val="00946729"/>
    <w:rsid w:val="00950590"/>
    <w:rsid w:val="009511D5"/>
    <w:rsid w:val="009520B9"/>
    <w:rsid w:val="0095668C"/>
    <w:rsid w:val="00961591"/>
    <w:rsid w:val="0096301E"/>
    <w:rsid w:val="009656C0"/>
    <w:rsid w:val="009664BF"/>
    <w:rsid w:val="00982182"/>
    <w:rsid w:val="00982215"/>
    <w:rsid w:val="00983F5F"/>
    <w:rsid w:val="00991D6C"/>
    <w:rsid w:val="00995E12"/>
    <w:rsid w:val="00997D5D"/>
    <w:rsid w:val="009A216B"/>
    <w:rsid w:val="009A298C"/>
    <w:rsid w:val="009A3020"/>
    <w:rsid w:val="009A3B37"/>
    <w:rsid w:val="009A4E75"/>
    <w:rsid w:val="009A509C"/>
    <w:rsid w:val="009A56E4"/>
    <w:rsid w:val="009A5B46"/>
    <w:rsid w:val="009A7FD5"/>
    <w:rsid w:val="009B05E0"/>
    <w:rsid w:val="009B0D97"/>
    <w:rsid w:val="009B2E5F"/>
    <w:rsid w:val="009B3057"/>
    <w:rsid w:val="009B5C11"/>
    <w:rsid w:val="009C1AFE"/>
    <w:rsid w:val="009C4FBC"/>
    <w:rsid w:val="009C5298"/>
    <w:rsid w:val="009C6DE1"/>
    <w:rsid w:val="009C7A05"/>
    <w:rsid w:val="009D0F58"/>
    <w:rsid w:val="009D1D9E"/>
    <w:rsid w:val="009D2AAF"/>
    <w:rsid w:val="009D3764"/>
    <w:rsid w:val="009D480A"/>
    <w:rsid w:val="009D5D42"/>
    <w:rsid w:val="009D655F"/>
    <w:rsid w:val="009D6697"/>
    <w:rsid w:val="009E287D"/>
    <w:rsid w:val="009E5326"/>
    <w:rsid w:val="009E5D6B"/>
    <w:rsid w:val="009F1014"/>
    <w:rsid w:val="009F1015"/>
    <w:rsid w:val="009F20DA"/>
    <w:rsid w:val="009F3183"/>
    <w:rsid w:val="009F3D4D"/>
    <w:rsid w:val="009F4733"/>
    <w:rsid w:val="009F7D44"/>
    <w:rsid w:val="00A0102F"/>
    <w:rsid w:val="00A0257A"/>
    <w:rsid w:val="00A0383A"/>
    <w:rsid w:val="00A10C17"/>
    <w:rsid w:val="00A14B00"/>
    <w:rsid w:val="00A21603"/>
    <w:rsid w:val="00A2265D"/>
    <w:rsid w:val="00A23953"/>
    <w:rsid w:val="00A25D99"/>
    <w:rsid w:val="00A278DA"/>
    <w:rsid w:val="00A27A3F"/>
    <w:rsid w:val="00A30754"/>
    <w:rsid w:val="00A31D4F"/>
    <w:rsid w:val="00A331AD"/>
    <w:rsid w:val="00A33CE5"/>
    <w:rsid w:val="00A361AF"/>
    <w:rsid w:val="00A37C1D"/>
    <w:rsid w:val="00A40635"/>
    <w:rsid w:val="00A40C14"/>
    <w:rsid w:val="00A42C45"/>
    <w:rsid w:val="00A459AE"/>
    <w:rsid w:val="00A47545"/>
    <w:rsid w:val="00A47813"/>
    <w:rsid w:val="00A4793D"/>
    <w:rsid w:val="00A47F0E"/>
    <w:rsid w:val="00A5172E"/>
    <w:rsid w:val="00A51BC0"/>
    <w:rsid w:val="00A526FF"/>
    <w:rsid w:val="00A555FB"/>
    <w:rsid w:val="00A559A3"/>
    <w:rsid w:val="00A5658D"/>
    <w:rsid w:val="00A569A2"/>
    <w:rsid w:val="00A571AE"/>
    <w:rsid w:val="00A57E7F"/>
    <w:rsid w:val="00A60110"/>
    <w:rsid w:val="00A6191E"/>
    <w:rsid w:val="00A6224B"/>
    <w:rsid w:val="00A62D24"/>
    <w:rsid w:val="00A63DBE"/>
    <w:rsid w:val="00A65F87"/>
    <w:rsid w:val="00A679AE"/>
    <w:rsid w:val="00A710D9"/>
    <w:rsid w:val="00A7143D"/>
    <w:rsid w:val="00A715A5"/>
    <w:rsid w:val="00A71A86"/>
    <w:rsid w:val="00A71D4A"/>
    <w:rsid w:val="00A72685"/>
    <w:rsid w:val="00A726E7"/>
    <w:rsid w:val="00A734EF"/>
    <w:rsid w:val="00A74FD4"/>
    <w:rsid w:val="00A76799"/>
    <w:rsid w:val="00A76D57"/>
    <w:rsid w:val="00A77C45"/>
    <w:rsid w:val="00A8086A"/>
    <w:rsid w:val="00A812F7"/>
    <w:rsid w:val="00A82447"/>
    <w:rsid w:val="00A83695"/>
    <w:rsid w:val="00A83900"/>
    <w:rsid w:val="00A83BEC"/>
    <w:rsid w:val="00A84D72"/>
    <w:rsid w:val="00A86496"/>
    <w:rsid w:val="00A86B76"/>
    <w:rsid w:val="00A905B7"/>
    <w:rsid w:val="00A9095A"/>
    <w:rsid w:val="00A92431"/>
    <w:rsid w:val="00A956D6"/>
    <w:rsid w:val="00A9667E"/>
    <w:rsid w:val="00A9793F"/>
    <w:rsid w:val="00AA0659"/>
    <w:rsid w:val="00AA0905"/>
    <w:rsid w:val="00AA2A9E"/>
    <w:rsid w:val="00AA6F97"/>
    <w:rsid w:val="00AB07F5"/>
    <w:rsid w:val="00AB09C1"/>
    <w:rsid w:val="00AB15D5"/>
    <w:rsid w:val="00AB30D7"/>
    <w:rsid w:val="00AB3B07"/>
    <w:rsid w:val="00AB3FEB"/>
    <w:rsid w:val="00AB48DD"/>
    <w:rsid w:val="00AB566C"/>
    <w:rsid w:val="00AB657E"/>
    <w:rsid w:val="00AB73A1"/>
    <w:rsid w:val="00AC1534"/>
    <w:rsid w:val="00AC585F"/>
    <w:rsid w:val="00AC7B36"/>
    <w:rsid w:val="00AD0F34"/>
    <w:rsid w:val="00AD2506"/>
    <w:rsid w:val="00AD461E"/>
    <w:rsid w:val="00AD5EAE"/>
    <w:rsid w:val="00AD6D32"/>
    <w:rsid w:val="00AE3B59"/>
    <w:rsid w:val="00AE3CF0"/>
    <w:rsid w:val="00AE442E"/>
    <w:rsid w:val="00AE721E"/>
    <w:rsid w:val="00AE7DE8"/>
    <w:rsid w:val="00AF0983"/>
    <w:rsid w:val="00AF1F99"/>
    <w:rsid w:val="00AF34A9"/>
    <w:rsid w:val="00AF37AF"/>
    <w:rsid w:val="00AF7857"/>
    <w:rsid w:val="00B01497"/>
    <w:rsid w:val="00B018B1"/>
    <w:rsid w:val="00B01CFD"/>
    <w:rsid w:val="00B0218B"/>
    <w:rsid w:val="00B02718"/>
    <w:rsid w:val="00B03890"/>
    <w:rsid w:val="00B039CF"/>
    <w:rsid w:val="00B04C27"/>
    <w:rsid w:val="00B0720C"/>
    <w:rsid w:val="00B109A8"/>
    <w:rsid w:val="00B10CD2"/>
    <w:rsid w:val="00B15CAB"/>
    <w:rsid w:val="00B17371"/>
    <w:rsid w:val="00B2084A"/>
    <w:rsid w:val="00B20D39"/>
    <w:rsid w:val="00B2512B"/>
    <w:rsid w:val="00B25F9D"/>
    <w:rsid w:val="00B260BF"/>
    <w:rsid w:val="00B264BA"/>
    <w:rsid w:val="00B2700A"/>
    <w:rsid w:val="00B279B0"/>
    <w:rsid w:val="00B27C87"/>
    <w:rsid w:val="00B3104D"/>
    <w:rsid w:val="00B32DF4"/>
    <w:rsid w:val="00B34948"/>
    <w:rsid w:val="00B36097"/>
    <w:rsid w:val="00B36ACC"/>
    <w:rsid w:val="00B36FDF"/>
    <w:rsid w:val="00B4016F"/>
    <w:rsid w:val="00B4206B"/>
    <w:rsid w:val="00B428D1"/>
    <w:rsid w:val="00B42990"/>
    <w:rsid w:val="00B43844"/>
    <w:rsid w:val="00B43DF5"/>
    <w:rsid w:val="00B45851"/>
    <w:rsid w:val="00B501E5"/>
    <w:rsid w:val="00B5062C"/>
    <w:rsid w:val="00B50773"/>
    <w:rsid w:val="00B52904"/>
    <w:rsid w:val="00B53709"/>
    <w:rsid w:val="00B55027"/>
    <w:rsid w:val="00B55D65"/>
    <w:rsid w:val="00B57469"/>
    <w:rsid w:val="00B61F2A"/>
    <w:rsid w:val="00B62990"/>
    <w:rsid w:val="00B64C5E"/>
    <w:rsid w:val="00B65015"/>
    <w:rsid w:val="00B6529A"/>
    <w:rsid w:val="00B707CF"/>
    <w:rsid w:val="00B70F85"/>
    <w:rsid w:val="00B72E52"/>
    <w:rsid w:val="00B72F03"/>
    <w:rsid w:val="00B7598A"/>
    <w:rsid w:val="00B826CD"/>
    <w:rsid w:val="00B83B68"/>
    <w:rsid w:val="00B83E33"/>
    <w:rsid w:val="00B90D86"/>
    <w:rsid w:val="00B9260A"/>
    <w:rsid w:val="00B93220"/>
    <w:rsid w:val="00B944D9"/>
    <w:rsid w:val="00B9455B"/>
    <w:rsid w:val="00B9616A"/>
    <w:rsid w:val="00B9688A"/>
    <w:rsid w:val="00B96C0D"/>
    <w:rsid w:val="00BA0DBF"/>
    <w:rsid w:val="00BA1513"/>
    <w:rsid w:val="00BA28C1"/>
    <w:rsid w:val="00BA2A70"/>
    <w:rsid w:val="00BA2D49"/>
    <w:rsid w:val="00BA2F10"/>
    <w:rsid w:val="00BA40B0"/>
    <w:rsid w:val="00BA49AC"/>
    <w:rsid w:val="00BA5499"/>
    <w:rsid w:val="00BA5945"/>
    <w:rsid w:val="00BA6236"/>
    <w:rsid w:val="00BA68F3"/>
    <w:rsid w:val="00BA7F56"/>
    <w:rsid w:val="00BB4851"/>
    <w:rsid w:val="00BB4C7F"/>
    <w:rsid w:val="00BB6773"/>
    <w:rsid w:val="00BB6857"/>
    <w:rsid w:val="00BC18D3"/>
    <w:rsid w:val="00BC2BF8"/>
    <w:rsid w:val="00BC33E7"/>
    <w:rsid w:val="00BC35CB"/>
    <w:rsid w:val="00BC519E"/>
    <w:rsid w:val="00BC5310"/>
    <w:rsid w:val="00BC7081"/>
    <w:rsid w:val="00BD0904"/>
    <w:rsid w:val="00BD16CC"/>
    <w:rsid w:val="00BD1D4F"/>
    <w:rsid w:val="00BD47F6"/>
    <w:rsid w:val="00BD4CF3"/>
    <w:rsid w:val="00BD4F3E"/>
    <w:rsid w:val="00BD50A8"/>
    <w:rsid w:val="00BD5531"/>
    <w:rsid w:val="00BD6191"/>
    <w:rsid w:val="00BE0ABD"/>
    <w:rsid w:val="00BE2D8D"/>
    <w:rsid w:val="00BE31F3"/>
    <w:rsid w:val="00BE3941"/>
    <w:rsid w:val="00BE45AB"/>
    <w:rsid w:val="00BE51CC"/>
    <w:rsid w:val="00BE57D6"/>
    <w:rsid w:val="00BE7AFF"/>
    <w:rsid w:val="00BF0ECD"/>
    <w:rsid w:val="00BF1199"/>
    <w:rsid w:val="00BF1B39"/>
    <w:rsid w:val="00BF4A50"/>
    <w:rsid w:val="00BF5DEA"/>
    <w:rsid w:val="00BF772B"/>
    <w:rsid w:val="00BF786C"/>
    <w:rsid w:val="00C0140E"/>
    <w:rsid w:val="00C01C90"/>
    <w:rsid w:val="00C029C8"/>
    <w:rsid w:val="00C03482"/>
    <w:rsid w:val="00C03852"/>
    <w:rsid w:val="00C0746C"/>
    <w:rsid w:val="00C117E8"/>
    <w:rsid w:val="00C13E18"/>
    <w:rsid w:val="00C1408E"/>
    <w:rsid w:val="00C15A35"/>
    <w:rsid w:val="00C16263"/>
    <w:rsid w:val="00C16911"/>
    <w:rsid w:val="00C17552"/>
    <w:rsid w:val="00C1762C"/>
    <w:rsid w:val="00C17AE0"/>
    <w:rsid w:val="00C17F38"/>
    <w:rsid w:val="00C20A78"/>
    <w:rsid w:val="00C210EC"/>
    <w:rsid w:val="00C23515"/>
    <w:rsid w:val="00C27C74"/>
    <w:rsid w:val="00C27F4F"/>
    <w:rsid w:val="00C33F74"/>
    <w:rsid w:val="00C33FAE"/>
    <w:rsid w:val="00C341E0"/>
    <w:rsid w:val="00C365C4"/>
    <w:rsid w:val="00C366B2"/>
    <w:rsid w:val="00C36B7F"/>
    <w:rsid w:val="00C37E36"/>
    <w:rsid w:val="00C411AD"/>
    <w:rsid w:val="00C41E7D"/>
    <w:rsid w:val="00C46760"/>
    <w:rsid w:val="00C46E1A"/>
    <w:rsid w:val="00C50B44"/>
    <w:rsid w:val="00C51F15"/>
    <w:rsid w:val="00C54BF3"/>
    <w:rsid w:val="00C61475"/>
    <w:rsid w:val="00C6323B"/>
    <w:rsid w:val="00C6343F"/>
    <w:rsid w:val="00C63AAD"/>
    <w:rsid w:val="00C63ADB"/>
    <w:rsid w:val="00C66EA9"/>
    <w:rsid w:val="00C671D5"/>
    <w:rsid w:val="00C7159F"/>
    <w:rsid w:val="00C72B25"/>
    <w:rsid w:val="00C73770"/>
    <w:rsid w:val="00C74635"/>
    <w:rsid w:val="00C74FE5"/>
    <w:rsid w:val="00C75B01"/>
    <w:rsid w:val="00C807D5"/>
    <w:rsid w:val="00C80B46"/>
    <w:rsid w:val="00C81D60"/>
    <w:rsid w:val="00C83D3A"/>
    <w:rsid w:val="00C86003"/>
    <w:rsid w:val="00C864B6"/>
    <w:rsid w:val="00C9340F"/>
    <w:rsid w:val="00C93BD0"/>
    <w:rsid w:val="00C9697B"/>
    <w:rsid w:val="00C96C59"/>
    <w:rsid w:val="00C97AB5"/>
    <w:rsid w:val="00CA4AE2"/>
    <w:rsid w:val="00CA70AA"/>
    <w:rsid w:val="00CB34E2"/>
    <w:rsid w:val="00CB3AB9"/>
    <w:rsid w:val="00CB4FE5"/>
    <w:rsid w:val="00CB5FB1"/>
    <w:rsid w:val="00CC015E"/>
    <w:rsid w:val="00CC01D7"/>
    <w:rsid w:val="00CC3215"/>
    <w:rsid w:val="00CC3A35"/>
    <w:rsid w:val="00CC4DA1"/>
    <w:rsid w:val="00CD024E"/>
    <w:rsid w:val="00CD1E4A"/>
    <w:rsid w:val="00CD29B3"/>
    <w:rsid w:val="00CD32CC"/>
    <w:rsid w:val="00CD3F98"/>
    <w:rsid w:val="00CD41EF"/>
    <w:rsid w:val="00CD4DE3"/>
    <w:rsid w:val="00CD795C"/>
    <w:rsid w:val="00CE0690"/>
    <w:rsid w:val="00CE1CC6"/>
    <w:rsid w:val="00CE29CF"/>
    <w:rsid w:val="00CE48C4"/>
    <w:rsid w:val="00CE6113"/>
    <w:rsid w:val="00CE6565"/>
    <w:rsid w:val="00CF24B7"/>
    <w:rsid w:val="00CF2789"/>
    <w:rsid w:val="00CF44B4"/>
    <w:rsid w:val="00CF4874"/>
    <w:rsid w:val="00CF4AED"/>
    <w:rsid w:val="00CF57F5"/>
    <w:rsid w:val="00CF633B"/>
    <w:rsid w:val="00CF731D"/>
    <w:rsid w:val="00D0031E"/>
    <w:rsid w:val="00D00881"/>
    <w:rsid w:val="00D01B6A"/>
    <w:rsid w:val="00D06119"/>
    <w:rsid w:val="00D074E3"/>
    <w:rsid w:val="00D10549"/>
    <w:rsid w:val="00D14195"/>
    <w:rsid w:val="00D16E1B"/>
    <w:rsid w:val="00D17CAE"/>
    <w:rsid w:val="00D22DBD"/>
    <w:rsid w:val="00D23419"/>
    <w:rsid w:val="00D23C00"/>
    <w:rsid w:val="00D25546"/>
    <w:rsid w:val="00D26521"/>
    <w:rsid w:val="00D26E14"/>
    <w:rsid w:val="00D27204"/>
    <w:rsid w:val="00D275A5"/>
    <w:rsid w:val="00D33754"/>
    <w:rsid w:val="00D33756"/>
    <w:rsid w:val="00D34EDB"/>
    <w:rsid w:val="00D35B8E"/>
    <w:rsid w:val="00D37A3A"/>
    <w:rsid w:val="00D405EC"/>
    <w:rsid w:val="00D41931"/>
    <w:rsid w:val="00D42096"/>
    <w:rsid w:val="00D437B5"/>
    <w:rsid w:val="00D463BA"/>
    <w:rsid w:val="00D46448"/>
    <w:rsid w:val="00D4771E"/>
    <w:rsid w:val="00D4794A"/>
    <w:rsid w:val="00D47AAA"/>
    <w:rsid w:val="00D50749"/>
    <w:rsid w:val="00D52818"/>
    <w:rsid w:val="00D52B8F"/>
    <w:rsid w:val="00D5435B"/>
    <w:rsid w:val="00D56480"/>
    <w:rsid w:val="00D61169"/>
    <w:rsid w:val="00D61460"/>
    <w:rsid w:val="00D61464"/>
    <w:rsid w:val="00D61CDA"/>
    <w:rsid w:val="00D63A41"/>
    <w:rsid w:val="00D6519F"/>
    <w:rsid w:val="00D65EB9"/>
    <w:rsid w:val="00D66304"/>
    <w:rsid w:val="00D665A3"/>
    <w:rsid w:val="00D67361"/>
    <w:rsid w:val="00D67D6F"/>
    <w:rsid w:val="00D70974"/>
    <w:rsid w:val="00D72CCD"/>
    <w:rsid w:val="00D73C2F"/>
    <w:rsid w:val="00D759B7"/>
    <w:rsid w:val="00D7763A"/>
    <w:rsid w:val="00D802DB"/>
    <w:rsid w:val="00D81303"/>
    <w:rsid w:val="00D82212"/>
    <w:rsid w:val="00D833DB"/>
    <w:rsid w:val="00D839F7"/>
    <w:rsid w:val="00D83BC3"/>
    <w:rsid w:val="00D8693A"/>
    <w:rsid w:val="00D86C88"/>
    <w:rsid w:val="00D86FBD"/>
    <w:rsid w:val="00D90B55"/>
    <w:rsid w:val="00D92577"/>
    <w:rsid w:val="00D92E07"/>
    <w:rsid w:val="00D96ABB"/>
    <w:rsid w:val="00D971CC"/>
    <w:rsid w:val="00D971F8"/>
    <w:rsid w:val="00DA038E"/>
    <w:rsid w:val="00DA043F"/>
    <w:rsid w:val="00DA1B95"/>
    <w:rsid w:val="00DA2667"/>
    <w:rsid w:val="00DA2948"/>
    <w:rsid w:val="00DA42DB"/>
    <w:rsid w:val="00DA435B"/>
    <w:rsid w:val="00DA5BAB"/>
    <w:rsid w:val="00DA6020"/>
    <w:rsid w:val="00DA6420"/>
    <w:rsid w:val="00DB23A1"/>
    <w:rsid w:val="00DB261C"/>
    <w:rsid w:val="00DB4314"/>
    <w:rsid w:val="00DB7257"/>
    <w:rsid w:val="00DC1150"/>
    <w:rsid w:val="00DC2752"/>
    <w:rsid w:val="00DC2AFA"/>
    <w:rsid w:val="00DC3613"/>
    <w:rsid w:val="00DC3DCE"/>
    <w:rsid w:val="00DC64AB"/>
    <w:rsid w:val="00DC6622"/>
    <w:rsid w:val="00DC7396"/>
    <w:rsid w:val="00DD1F46"/>
    <w:rsid w:val="00DD3F8F"/>
    <w:rsid w:val="00DD5EA2"/>
    <w:rsid w:val="00DD7198"/>
    <w:rsid w:val="00DE0AAE"/>
    <w:rsid w:val="00DE0ACE"/>
    <w:rsid w:val="00DE0FE5"/>
    <w:rsid w:val="00DE3E6D"/>
    <w:rsid w:val="00DE6A96"/>
    <w:rsid w:val="00DE78D6"/>
    <w:rsid w:val="00DF1609"/>
    <w:rsid w:val="00DF7122"/>
    <w:rsid w:val="00DF76CA"/>
    <w:rsid w:val="00E00EEE"/>
    <w:rsid w:val="00E03168"/>
    <w:rsid w:val="00E031B2"/>
    <w:rsid w:val="00E0457E"/>
    <w:rsid w:val="00E063CD"/>
    <w:rsid w:val="00E074D9"/>
    <w:rsid w:val="00E07514"/>
    <w:rsid w:val="00E101EF"/>
    <w:rsid w:val="00E107E1"/>
    <w:rsid w:val="00E10F7F"/>
    <w:rsid w:val="00E132B7"/>
    <w:rsid w:val="00E136A7"/>
    <w:rsid w:val="00E13AF1"/>
    <w:rsid w:val="00E13E14"/>
    <w:rsid w:val="00E17078"/>
    <w:rsid w:val="00E20704"/>
    <w:rsid w:val="00E23316"/>
    <w:rsid w:val="00E234B3"/>
    <w:rsid w:val="00E30DFF"/>
    <w:rsid w:val="00E32D1B"/>
    <w:rsid w:val="00E33370"/>
    <w:rsid w:val="00E33E51"/>
    <w:rsid w:val="00E34AEA"/>
    <w:rsid w:val="00E35C34"/>
    <w:rsid w:val="00E40DC9"/>
    <w:rsid w:val="00E41F67"/>
    <w:rsid w:val="00E44CA1"/>
    <w:rsid w:val="00E500D5"/>
    <w:rsid w:val="00E503F3"/>
    <w:rsid w:val="00E51DC4"/>
    <w:rsid w:val="00E5410B"/>
    <w:rsid w:val="00E55CED"/>
    <w:rsid w:val="00E56A3E"/>
    <w:rsid w:val="00E56BC7"/>
    <w:rsid w:val="00E56C46"/>
    <w:rsid w:val="00E6085C"/>
    <w:rsid w:val="00E60B97"/>
    <w:rsid w:val="00E62183"/>
    <w:rsid w:val="00E62499"/>
    <w:rsid w:val="00E65C3D"/>
    <w:rsid w:val="00E70232"/>
    <w:rsid w:val="00E71ADF"/>
    <w:rsid w:val="00E72033"/>
    <w:rsid w:val="00E72147"/>
    <w:rsid w:val="00E724F5"/>
    <w:rsid w:val="00E72589"/>
    <w:rsid w:val="00E7287E"/>
    <w:rsid w:val="00E7443B"/>
    <w:rsid w:val="00E77F8D"/>
    <w:rsid w:val="00E810E8"/>
    <w:rsid w:val="00E81138"/>
    <w:rsid w:val="00E821DB"/>
    <w:rsid w:val="00E82454"/>
    <w:rsid w:val="00E839A2"/>
    <w:rsid w:val="00E83ED2"/>
    <w:rsid w:val="00E8585F"/>
    <w:rsid w:val="00E85ED7"/>
    <w:rsid w:val="00E879F9"/>
    <w:rsid w:val="00E903FB"/>
    <w:rsid w:val="00E911D3"/>
    <w:rsid w:val="00E9151B"/>
    <w:rsid w:val="00E94F21"/>
    <w:rsid w:val="00E956F9"/>
    <w:rsid w:val="00E96832"/>
    <w:rsid w:val="00EA03D3"/>
    <w:rsid w:val="00EA54C9"/>
    <w:rsid w:val="00EA6D33"/>
    <w:rsid w:val="00EA73BB"/>
    <w:rsid w:val="00EB0885"/>
    <w:rsid w:val="00EB0B13"/>
    <w:rsid w:val="00EB1DAC"/>
    <w:rsid w:val="00EB331B"/>
    <w:rsid w:val="00EB4D60"/>
    <w:rsid w:val="00EC005D"/>
    <w:rsid w:val="00EC45AF"/>
    <w:rsid w:val="00EC4681"/>
    <w:rsid w:val="00EC63AF"/>
    <w:rsid w:val="00EC66D1"/>
    <w:rsid w:val="00EC6FEC"/>
    <w:rsid w:val="00EC7AD5"/>
    <w:rsid w:val="00ED30A5"/>
    <w:rsid w:val="00ED38FD"/>
    <w:rsid w:val="00ED5714"/>
    <w:rsid w:val="00ED6048"/>
    <w:rsid w:val="00EE1BCC"/>
    <w:rsid w:val="00EE3E33"/>
    <w:rsid w:val="00EF2A86"/>
    <w:rsid w:val="00EF3F81"/>
    <w:rsid w:val="00EF45DF"/>
    <w:rsid w:val="00EF57A2"/>
    <w:rsid w:val="00EF5DAA"/>
    <w:rsid w:val="00F045BC"/>
    <w:rsid w:val="00F05F2A"/>
    <w:rsid w:val="00F05FB9"/>
    <w:rsid w:val="00F11811"/>
    <w:rsid w:val="00F1282B"/>
    <w:rsid w:val="00F1604B"/>
    <w:rsid w:val="00F21755"/>
    <w:rsid w:val="00F2297E"/>
    <w:rsid w:val="00F22AA9"/>
    <w:rsid w:val="00F23297"/>
    <w:rsid w:val="00F25A13"/>
    <w:rsid w:val="00F25A68"/>
    <w:rsid w:val="00F25BD0"/>
    <w:rsid w:val="00F271EE"/>
    <w:rsid w:val="00F31DC9"/>
    <w:rsid w:val="00F32C6E"/>
    <w:rsid w:val="00F3460D"/>
    <w:rsid w:val="00F35688"/>
    <w:rsid w:val="00F36B0A"/>
    <w:rsid w:val="00F401F0"/>
    <w:rsid w:val="00F43202"/>
    <w:rsid w:val="00F440F0"/>
    <w:rsid w:val="00F460AF"/>
    <w:rsid w:val="00F46B84"/>
    <w:rsid w:val="00F477D9"/>
    <w:rsid w:val="00F51288"/>
    <w:rsid w:val="00F52EE5"/>
    <w:rsid w:val="00F53525"/>
    <w:rsid w:val="00F53C86"/>
    <w:rsid w:val="00F55A5C"/>
    <w:rsid w:val="00F61842"/>
    <w:rsid w:val="00F62644"/>
    <w:rsid w:val="00F6298C"/>
    <w:rsid w:val="00F63EB3"/>
    <w:rsid w:val="00F665CF"/>
    <w:rsid w:val="00F72687"/>
    <w:rsid w:val="00F72E94"/>
    <w:rsid w:val="00F733FE"/>
    <w:rsid w:val="00F73931"/>
    <w:rsid w:val="00F75926"/>
    <w:rsid w:val="00F76900"/>
    <w:rsid w:val="00F7695C"/>
    <w:rsid w:val="00F803BB"/>
    <w:rsid w:val="00F80E10"/>
    <w:rsid w:val="00F814B4"/>
    <w:rsid w:val="00F81D00"/>
    <w:rsid w:val="00F82C1D"/>
    <w:rsid w:val="00F901F0"/>
    <w:rsid w:val="00F904FD"/>
    <w:rsid w:val="00F92A0A"/>
    <w:rsid w:val="00F93510"/>
    <w:rsid w:val="00F935AB"/>
    <w:rsid w:val="00F944A8"/>
    <w:rsid w:val="00FA3AF9"/>
    <w:rsid w:val="00FA4285"/>
    <w:rsid w:val="00FA485A"/>
    <w:rsid w:val="00FA5821"/>
    <w:rsid w:val="00FA6333"/>
    <w:rsid w:val="00FA7756"/>
    <w:rsid w:val="00FA7CD9"/>
    <w:rsid w:val="00FB3CBC"/>
    <w:rsid w:val="00FB42B2"/>
    <w:rsid w:val="00FB661B"/>
    <w:rsid w:val="00FC1ADF"/>
    <w:rsid w:val="00FC25F3"/>
    <w:rsid w:val="00FC321B"/>
    <w:rsid w:val="00FC491F"/>
    <w:rsid w:val="00FC685C"/>
    <w:rsid w:val="00FC7354"/>
    <w:rsid w:val="00FD2073"/>
    <w:rsid w:val="00FD209F"/>
    <w:rsid w:val="00FD24CE"/>
    <w:rsid w:val="00FD2E45"/>
    <w:rsid w:val="00FD2E8B"/>
    <w:rsid w:val="00FD3554"/>
    <w:rsid w:val="00FD5283"/>
    <w:rsid w:val="00FD61E0"/>
    <w:rsid w:val="00FE00E7"/>
    <w:rsid w:val="00FE0638"/>
    <w:rsid w:val="00FE138C"/>
    <w:rsid w:val="00FE14A4"/>
    <w:rsid w:val="00FE319C"/>
    <w:rsid w:val="00FE423B"/>
    <w:rsid w:val="00FE4CEB"/>
    <w:rsid w:val="00FE65A8"/>
    <w:rsid w:val="00FE6905"/>
    <w:rsid w:val="00FF0ABB"/>
    <w:rsid w:val="00FF0FE0"/>
    <w:rsid w:val="00FF3553"/>
    <w:rsid w:val="00FF38E5"/>
    <w:rsid w:val="00FF459E"/>
    <w:rsid w:val="00FF5E27"/>
    <w:rsid w:val="00FF70D5"/>
    <w:rsid w:val="15831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semiHidden="0" w:name="toc 5"/>
    <w:lsdException w:uiPriority="39" w:name="toc 6"/>
    <w:lsdException w:qFormat="1" w:unhideWhenUsed="0" w:uiPriority="99" w:semiHidden="0"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31"/>
    <w:qFormat/>
    <w:uiPriority w:val="9"/>
    <w:pPr>
      <w:keepNext/>
      <w:widowControl/>
      <w:ind w:firstLine="0" w:firstLineChars="0"/>
      <w:jc w:val="left"/>
      <w:outlineLvl w:val="0"/>
    </w:pPr>
    <w:rPr>
      <w:rFonts w:cs="宋体" w:asciiTheme="majorHAnsi" w:hAnsiTheme="majorHAnsi"/>
      <w:b/>
      <w:bCs/>
      <w:kern w:val="32"/>
      <w:szCs w:val="32"/>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7"/>
    <w:qFormat/>
    <w:uiPriority w:val="0"/>
    <w:pPr>
      <w:spacing w:before="100" w:beforeAutospacing="1" w:after="100" w:afterAutospacing="1" w:line="240" w:lineRule="auto"/>
      <w:ind w:firstLine="0" w:firstLineChars="0"/>
      <w:jc w:val="left"/>
      <w:outlineLvl w:val="4"/>
    </w:pPr>
    <w:rPr>
      <w:rFonts w:hint="eastAsia" w:ascii="宋体" w:hAnsi="宋体" w:eastAsia="宋体" w:cs="Times New Roman"/>
      <w:b/>
      <w:bCs/>
      <w:kern w:val="0"/>
      <w:sz w:val="20"/>
      <w:szCs w:val="20"/>
    </w:rPr>
  </w:style>
  <w:style w:type="character" w:default="1" w:styleId="27">
    <w:name w:val="Default Paragraph Font"/>
    <w:unhideWhenUsed/>
    <w:qFormat/>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99"/>
    <w:pPr>
      <w:spacing w:line="240" w:lineRule="auto"/>
      <w:ind w:left="1260" w:firstLine="0" w:firstLineChars="0"/>
      <w:jc w:val="left"/>
    </w:pPr>
    <w:rPr>
      <w:rFonts w:ascii="Calibri" w:hAnsi="Calibri" w:eastAsia="宋体" w:cs="Times New Roman"/>
      <w:sz w:val="18"/>
      <w:szCs w:val="18"/>
    </w:rPr>
  </w:style>
  <w:style w:type="paragraph" w:styleId="8">
    <w:name w:val="Body Text"/>
    <w:basedOn w:val="1"/>
    <w:next w:val="9"/>
    <w:link w:val="38"/>
    <w:qFormat/>
    <w:uiPriority w:val="0"/>
    <w:pPr>
      <w:spacing w:after="120" w:line="240" w:lineRule="auto"/>
    </w:pPr>
    <w:rPr>
      <w:rFonts w:ascii="Calibri" w:hAnsi="Calibri" w:eastAsia="宋体" w:cs="Times New Roman"/>
      <w:sz w:val="21"/>
      <w:szCs w:val="24"/>
    </w:rPr>
  </w:style>
  <w:style w:type="paragraph" w:styleId="9">
    <w:name w:val="toc 5"/>
    <w:basedOn w:val="1"/>
    <w:next w:val="1"/>
    <w:autoRedefine/>
    <w:unhideWhenUsed/>
    <w:qFormat/>
    <w:uiPriority w:val="39"/>
    <w:pPr>
      <w:ind w:firstLine="482"/>
    </w:pPr>
    <w:rPr>
      <w:b/>
      <w:bCs/>
      <w:color w:val="4472C4" w:themeColor="accent1"/>
      <w14:textFill>
        <w14:solidFill>
          <w14:schemeClr w14:val="accent1"/>
        </w14:solidFill>
      </w14:textFill>
    </w:rPr>
  </w:style>
  <w:style w:type="paragraph" w:styleId="10">
    <w:name w:val="Body Text Indent"/>
    <w:basedOn w:val="1"/>
    <w:next w:val="11"/>
    <w:link w:val="58"/>
    <w:qFormat/>
    <w:uiPriority w:val="99"/>
    <w:pPr>
      <w:spacing w:line="240" w:lineRule="auto"/>
      <w:ind w:left="420" w:leftChars="200" w:firstLine="0" w:firstLineChars="0"/>
    </w:pPr>
    <w:rPr>
      <w:rFonts w:ascii="Calibri" w:hAnsi="Calibri" w:eastAsia="宋体" w:cs="Times New Roman"/>
      <w:sz w:val="21"/>
      <w:szCs w:val="24"/>
    </w:rPr>
  </w:style>
  <w:style w:type="paragraph" w:styleId="11">
    <w:name w:val="envelope return"/>
    <w:basedOn w:val="1"/>
    <w:next w:val="7"/>
    <w:qFormat/>
    <w:uiPriority w:val="99"/>
    <w:pPr>
      <w:snapToGrid w:val="0"/>
      <w:spacing w:line="240" w:lineRule="auto"/>
      <w:ind w:firstLine="0" w:firstLineChars="0"/>
    </w:pPr>
    <w:rPr>
      <w:rFonts w:ascii="Arial" w:hAnsi="Arial" w:eastAsia="宋体" w:cs="Times New Roman"/>
      <w:sz w:val="21"/>
      <w:szCs w:val="24"/>
    </w:rPr>
  </w:style>
  <w:style w:type="paragraph" w:styleId="12">
    <w:name w:val="toc 3"/>
    <w:basedOn w:val="1"/>
    <w:next w:val="1"/>
    <w:autoRedefine/>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13">
    <w:name w:val="Date"/>
    <w:basedOn w:val="1"/>
    <w:next w:val="1"/>
    <w:link w:val="45"/>
    <w:semiHidden/>
    <w:unhideWhenUsed/>
    <w:qFormat/>
    <w:uiPriority w:val="99"/>
    <w:pPr>
      <w:ind w:left="100" w:leftChars="2500"/>
    </w:pPr>
  </w:style>
  <w:style w:type="paragraph" w:styleId="14">
    <w:name w:val="Body Text Indent 2"/>
    <w:basedOn w:val="1"/>
    <w:link w:val="53"/>
    <w:unhideWhenUsed/>
    <w:qFormat/>
    <w:uiPriority w:val="99"/>
    <w:pPr>
      <w:spacing w:after="120" w:line="480" w:lineRule="auto"/>
      <w:ind w:left="420" w:leftChars="200"/>
    </w:pPr>
  </w:style>
  <w:style w:type="paragraph" w:styleId="15">
    <w:name w:val="footer"/>
    <w:basedOn w:val="1"/>
    <w:link w:val="35"/>
    <w:unhideWhenUsed/>
    <w:uiPriority w:val="0"/>
    <w:pPr>
      <w:tabs>
        <w:tab w:val="center" w:pos="4153"/>
        <w:tab w:val="right" w:pos="8306"/>
      </w:tabs>
      <w:snapToGrid w:val="0"/>
      <w:jc w:val="left"/>
    </w:pPr>
    <w:rPr>
      <w:sz w:val="18"/>
      <w:szCs w:val="18"/>
    </w:rPr>
  </w:style>
  <w:style w:type="paragraph" w:styleId="16">
    <w:name w:val="header"/>
    <w:basedOn w:val="1"/>
    <w:link w:val="34"/>
    <w:unhideWhenUsed/>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18">
    <w:name w:val="Subtitle"/>
    <w:basedOn w:val="3"/>
    <w:next w:val="1"/>
    <w:link w:val="59"/>
    <w:qFormat/>
    <w:uiPriority w:val="11"/>
    <w:pPr>
      <w:keepNext w:val="0"/>
      <w:keepLines w:val="0"/>
      <w:numPr>
        <w:ilvl w:val="1"/>
        <w:numId w:val="1"/>
      </w:numPr>
      <w:spacing w:before="100" w:beforeLines="100" w:beforeAutospacing="1" w:after="100" w:afterLines="100" w:afterAutospacing="1" w:line="240" w:lineRule="auto"/>
      <w:ind w:firstLine="0" w:firstLineChars="0"/>
      <w:jc w:val="left"/>
    </w:pPr>
    <w:rPr>
      <w:rFonts w:hint="eastAsia" w:ascii="宋体" w:hAnsi="宋体" w:eastAsia="方正仿宋_GB2312" w:cs="Times New Roman"/>
      <w:kern w:val="0"/>
      <w:sz w:val="30"/>
      <w:szCs w:val="36"/>
    </w:rPr>
  </w:style>
  <w:style w:type="paragraph" w:styleId="19">
    <w:name w:val="toc 2"/>
    <w:basedOn w:val="1"/>
    <w:next w:val="1"/>
    <w:autoRedefine/>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20">
    <w:name w:val="HTML Preformatted"/>
    <w:basedOn w:val="1"/>
    <w:link w:val="6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Times New Roman"/>
      <w:kern w:val="0"/>
      <w:szCs w:val="24"/>
    </w:rPr>
  </w:style>
  <w:style w:type="paragraph" w:styleId="21">
    <w:name w:val="Normal (Web)"/>
    <w:basedOn w:val="1"/>
    <w:unhideWhenUsed/>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styleId="22">
    <w:name w:val="Title"/>
    <w:basedOn w:val="2"/>
    <w:next w:val="1"/>
    <w:link w:val="61"/>
    <w:qFormat/>
    <w:uiPriority w:val="10"/>
    <w:pPr>
      <w:keepNext w:val="0"/>
      <w:widowControl w:val="0"/>
      <w:numPr>
        <w:ilvl w:val="0"/>
        <w:numId w:val="1"/>
      </w:numPr>
      <w:spacing w:before="312" w:beforeAutospacing="1" w:after="312" w:afterAutospacing="1" w:line="240" w:lineRule="auto"/>
    </w:pPr>
    <w:rPr>
      <w:rFonts w:hint="eastAsia" w:ascii="宋体" w:hAnsi="宋体" w:eastAsia="黑体" w:cs="Times New Roman"/>
      <w:b w:val="0"/>
      <w:kern w:val="44"/>
      <w:sz w:val="36"/>
      <w:szCs w:val="48"/>
    </w:rPr>
  </w:style>
  <w:style w:type="paragraph" w:styleId="23">
    <w:name w:val="Body Text First Indent"/>
    <w:basedOn w:val="8"/>
    <w:link w:val="62"/>
    <w:qFormat/>
    <w:uiPriority w:val="0"/>
    <w:pPr>
      <w:ind w:firstLine="420" w:firstLineChars="100"/>
    </w:pPr>
  </w:style>
  <w:style w:type="paragraph" w:styleId="24">
    <w:name w:val="Body Text First Indent 2"/>
    <w:basedOn w:val="10"/>
    <w:next w:val="1"/>
    <w:link w:val="63"/>
    <w:qFormat/>
    <w:uiPriority w:val="99"/>
    <w:pPr>
      <w:spacing w:line="360" w:lineRule="auto"/>
      <w:ind w:firstLine="200" w:firstLineChars="200"/>
    </w:pPr>
    <w:rPr>
      <w:rFonts w:ascii="宋体"/>
      <w:szCs w:val="20"/>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Emphasis"/>
    <w:qFormat/>
    <w:uiPriority w:val="0"/>
    <w:rPr>
      <w:i/>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标题 1 字符"/>
    <w:basedOn w:val="27"/>
    <w:link w:val="2"/>
    <w:qFormat/>
    <w:uiPriority w:val="9"/>
    <w:rPr>
      <w:rFonts w:eastAsia="仿宋" w:cs="宋体" w:asciiTheme="majorHAnsi" w:hAnsiTheme="majorHAnsi"/>
      <w:b/>
      <w:bCs/>
      <w:kern w:val="32"/>
      <w:sz w:val="24"/>
      <w:szCs w:val="32"/>
    </w:rPr>
  </w:style>
  <w:style w:type="paragraph" w:styleId="32">
    <w:name w:val="List Paragraph"/>
    <w:basedOn w:val="1"/>
    <w:qFormat/>
    <w:uiPriority w:val="34"/>
    <w:pPr>
      <w:widowControl/>
      <w:ind w:left="720"/>
      <w:contextualSpacing/>
      <w:jc w:val="left"/>
    </w:pPr>
    <w:rPr>
      <w:rFonts w:cs="Times New Roman"/>
      <w:kern w:val="0"/>
      <w:szCs w:val="24"/>
    </w:rPr>
  </w:style>
  <w:style w:type="table" w:customStyle="1" w:styleId="33">
    <w:name w:val="Grid Table 1 Light Accent 1"/>
    <w:basedOn w:val="25"/>
    <w:qFormat/>
    <w:uiPriority w:val="46"/>
    <w:rPr>
      <w:rFonts w:cs="Times New Roman"/>
      <w:kern w:val="0"/>
      <w:sz w:val="22"/>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34">
    <w:name w:val="页眉 字符"/>
    <w:basedOn w:val="27"/>
    <w:link w:val="16"/>
    <w:qFormat/>
    <w:uiPriority w:val="0"/>
    <w:rPr>
      <w:sz w:val="18"/>
      <w:szCs w:val="18"/>
    </w:rPr>
  </w:style>
  <w:style w:type="character" w:customStyle="1" w:styleId="35">
    <w:name w:val="页脚 字符"/>
    <w:basedOn w:val="27"/>
    <w:link w:val="15"/>
    <w:uiPriority w:val="0"/>
    <w:rPr>
      <w:sz w:val="18"/>
      <w:szCs w:val="18"/>
    </w:rPr>
  </w:style>
  <w:style w:type="character" w:customStyle="1" w:styleId="36">
    <w:name w:val="未处理的提及1"/>
    <w:basedOn w:val="27"/>
    <w:semiHidden/>
    <w:unhideWhenUsed/>
    <w:qFormat/>
    <w:uiPriority w:val="99"/>
    <w:rPr>
      <w:color w:val="605E5C"/>
      <w:shd w:val="clear" w:color="auto" w:fill="E1DFDD"/>
    </w:rPr>
  </w:style>
  <w:style w:type="character" w:customStyle="1" w:styleId="37">
    <w:name w:val="标题 2 字符"/>
    <w:basedOn w:val="27"/>
    <w:link w:val="3"/>
    <w:uiPriority w:val="9"/>
    <w:rPr>
      <w:rFonts w:asciiTheme="majorHAnsi" w:hAnsiTheme="majorHAnsi" w:eastAsiaTheme="majorEastAsia" w:cstheme="majorBidi"/>
      <w:b/>
      <w:bCs/>
      <w:sz w:val="32"/>
      <w:szCs w:val="32"/>
    </w:rPr>
  </w:style>
  <w:style w:type="character" w:customStyle="1" w:styleId="38">
    <w:name w:val="正文文本 字符"/>
    <w:basedOn w:val="27"/>
    <w:link w:val="8"/>
    <w:qFormat/>
    <w:uiPriority w:val="99"/>
    <w:rPr>
      <w:rFonts w:ascii="Calibri" w:hAnsi="Calibri" w:eastAsia="宋体" w:cs="Times New Roman"/>
      <w:szCs w:val="24"/>
    </w:rPr>
  </w:style>
  <w:style w:type="character" w:customStyle="1" w:styleId="39">
    <w:name w:val="标题 3 字符"/>
    <w:basedOn w:val="27"/>
    <w:link w:val="4"/>
    <w:qFormat/>
    <w:uiPriority w:val="9"/>
    <w:rPr>
      <w:rFonts w:eastAsia="仿宋"/>
      <w:b/>
      <w:bCs/>
      <w:sz w:val="32"/>
      <w:szCs w:val="32"/>
    </w:rPr>
  </w:style>
  <w:style w:type="character" w:customStyle="1" w:styleId="40">
    <w:name w:val="bjh-p"/>
    <w:basedOn w:val="27"/>
    <w:qFormat/>
    <w:uiPriority w:val="0"/>
  </w:style>
  <w:style w:type="character" w:customStyle="1" w:styleId="41">
    <w:name w:val="bjh-strong"/>
    <w:basedOn w:val="27"/>
    <w:qFormat/>
    <w:uiPriority w:val="0"/>
  </w:style>
  <w:style w:type="paragraph" w:customStyle="1" w:styleId="42">
    <w:name w:val="_Style 5"/>
    <w:qFormat/>
    <w:uiPriority w:val="0"/>
    <w:pPr>
      <w:widowControl w:val="0"/>
      <w:ind w:firstLine="200" w:firstLineChars="200"/>
      <w:jc w:val="both"/>
    </w:pPr>
    <w:rPr>
      <w:rFonts w:ascii="Times New Roman" w:hAnsi="Times New Roman" w:eastAsia="宋体" w:cs="Times New Roman"/>
      <w:kern w:val="2"/>
      <w:sz w:val="24"/>
      <w:szCs w:val="20"/>
      <w:lang w:val="en-US" w:eastAsia="zh-CN" w:bidi="ar-SA"/>
    </w:rPr>
  </w:style>
  <w:style w:type="table" w:customStyle="1" w:styleId="43">
    <w:name w:val="Grid Table 4 Accent 5"/>
    <w:basedOn w:val="25"/>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44">
    <w:name w:val="Grid Table 4 Accent 1"/>
    <w:basedOn w:val="25"/>
    <w:qFormat/>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45">
    <w:name w:val="日期 字符"/>
    <w:basedOn w:val="27"/>
    <w:link w:val="13"/>
    <w:semiHidden/>
    <w:qFormat/>
    <w:uiPriority w:val="99"/>
    <w:rPr>
      <w:rFonts w:eastAsia="仿宋"/>
      <w:sz w:val="24"/>
    </w:rPr>
  </w:style>
  <w:style w:type="character" w:customStyle="1" w:styleId="46">
    <w:name w:val="Unresolved Mention"/>
    <w:basedOn w:val="27"/>
    <w:semiHidden/>
    <w:unhideWhenUsed/>
    <w:qFormat/>
    <w:uiPriority w:val="99"/>
    <w:rPr>
      <w:color w:val="605E5C"/>
      <w:shd w:val="clear" w:color="auto" w:fill="E1DFDD"/>
    </w:rPr>
  </w:style>
  <w:style w:type="paragraph" w:customStyle="1" w:styleId="47">
    <w:name w:val="Revision"/>
    <w:hidden/>
    <w:semiHidden/>
    <w:qFormat/>
    <w:uiPriority w:val="99"/>
    <w:rPr>
      <w:rFonts w:eastAsia="仿宋" w:asciiTheme="minorHAnsi" w:hAnsiTheme="minorHAnsi" w:cstheme="minorBidi"/>
      <w:kern w:val="2"/>
      <w:sz w:val="24"/>
      <w:szCs w:val="22"/>
      <w:lang w:val="en-US" w:eastAsia="zh-CN" w:bidi="ar-SA"/>
    </w:rPr>
  </w:style>
  <w:style w:type="paragraph" w:customStyle="1" w:styleId="48">
    <w:name w:val="a正文"/>
    <w:basedOn w:val="1"/>
    <w:link w:val="49"/>
    <w:qFormat/>
    <w:uiPriority w:val="0"/>
    <w:pPr>
      <w:widowControl/>
      <w:topLinePunct/>
    </w:pPr>
    <w:rPr>
      <w:rFonts w:ascii="Times New Roman" w:hAnsi="Times New Roman"/>
      <w:kern w:val="0"/>
      <w:szCs w:val="24"/>
    </w:rPr>
  </w:style>
  <w:style w:type="character" w:customStyle="1" w:styleId="49">
    <w:name w:val="a正文 Char"/>
    <w:basedOn w:val="27"/>
    <w:link w:val="48"/>
    <w:qFormat/>
    <w:uiPriority w:val="0"/>
    <w:rPr>
      <w:rFonts w:ascii="Times New Roman" w:hAnsi="Times New Roman" w:eastAsia="仿宋"/>
      <w:kern w:val="0"/>
      <w:sz w:val="24"/>
      <w:szCs w:val="24"/>
    </w:rPr>
  </w:style>
  <w:style w:type="table" w:customStyle="1" w:styleId="50">
    <w:name w:val="Grid Table 6 Colorful Accent 5"/>
    <w:basedOn w:val="25"/>
    <w:qFormat/>
    <w:uiPriority w:val="51"/>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51">
    <w:name w:val="TOC Heading"/>
    <w:basedOn w:val="2"/>
    <w:next w:val="1"/>
    <w:unhideWhenUsed/>
    <w:qFormat/>
    <w:uiPriority w:val="39"/>
    <w:pPr>
      <w:keepLines/>
      <w:spacing w:before="240" w:line="259" w:lineRule="auto"/>
      <w:outlineLvl w:val="9"/>
    </w:pPr>
    <w:rPr>
      <w:rFonts w:eastAsiaTheme="majorEastAsia" w:cstheme="majorBidi"/>
      <w:b w:val="0"/>
      <w:bCs w:val="0"/>
      <w:color w:val="2F5597" w:themeColor="accent1" w:themeShade="BF"/>
      <w:kern w:val="0"/>
      <w:sz w:val="32"/>
    </w:rPr>
  </w:style>
  <w:style w:type="table" w:customStyle="1" w:styleId="52">
    <w:name w:val="Grid Table 3 Accent 5"/>
    <w:basedOn w:val="25"/>
    <w:qFormat/>
    <w:uiPriority w:val="48"/>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53">
    <w:name w:val="正文文本缩进 2 字符"/>
    <w:basedOn w:val="27"/>
    <w:link w:val="14"/>
    <w:semiHidden/>
    <w:qFormat/>
    <w:uiPriority w:val="99"/>
    <w:rPr>
      <w:rFonts w:eastAsia="仿宋"/>
      <w:sz w:val="24"/>
    </w:rPr>
  </w:style>
  <w:style w:type="character" w:customStyle="1" w:styleId="54">
    <w:name w:val="wx_search_keyword_wrap"/>
    <w:basedOn w:val="27"/>
    <w:qFormat/>
    <w:uiPriority w:val="0"/>
  </w:style>
  <w:style w:type="character" w:customStyle="1" w:styleId="55">
    <w:name w:val="标题 4 字符"/>
    <w:basedOn w:val="27"/>
    <w:link w:val="5"/>
    <w:semiHidden/>
    <w:qFormat/>
    <w:uiPriority w:val="9"/>
    <w:rPr>
      <w:rFonts w:asciiTheme="majorHAnsi" w:hAnsiTheme="majorHAnsi" w:eastAsiaTheme="majorEastAsia" w:cstheme="majorBidi"/>
      <w:b/>
      <w:bCs/>
      <w:sz w:val="28"/>
      <w:szCs w:val="28"/>
    </w:rPr>
  </w:style>
  <w:style w:type="table" w:customStyle="1" w:styleId="56">
    <w:name w:val="Grid Table 1 Light Accent 5"/>
    <w:basedOn w:val="25"/>
    <w:qFormat/>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character" w:customStyle="1" w:styleId="57">
    <w:name w:val="标题 5 字符"/>
    <w:basedOn w:val="27"/>
    <w:link w:val="6"/>
    <w:qFormat/>
    <w:uiPriority w:val="0"/>
    <w:rPr>
      <w:rFonts w:ascii="宋体" w:hAnsi="宋体" w:eastAsia="宋体" w:cs="Times New Roman"/>
      <w:b/>
      <w:bCs/>
      <w:kern w:val="0"/>
      <w:sz w:val="20"/>
      <w:szCs w:val="20"/>
    </w:rPr>
  </w:style>
  <w:style w:type="character" w:customStyle="1" w:styleId="58">
    <w:name w:val="正文文本缩进 字符"/>
    <w:basedOn w:val="27"/>
    <w:link w:val="10"/>
    <w:qFormat/>
    <w:uiPriority w:val="99"/>
    <w:rPr>
      <w:rFonts w:ascii="Calibri" w:hAnsi="Calibri" w:eastAsia="宋体" w:cs="Times New Roman"/>
      <w:szCs w:val="24"/>
    </w:rPr>
  </w:style>
  <w:style w:type="character" w:customStyle="1" w:styleId="59">
    <w:name w:val="副标题 字符"/>
    <w:basedOn w:val="27"/>
    <w:link w:val="18"/>
    <w:qFormat/>
    <w:uiPriority w:val="11"/>
    <w:rPr>
      <w:rFonts w:ascii="宋体" w:hAnsi="宋体" w:eastAsia="方正仿宋_GB2312" w:cs="Times New Roman"/>
      <w:b/>
      <w:bCs/>
      <w:kern w:val="0"/>
      <w:sz w:val="30"/>
      <w:szCs w:val="36"/>
    </w:rPr>
  </w:style>
  <w:style w:type="character" w:customStyle="1" w:styleId="60">
    <w:name w:val="HTML 预设格式 字符"/>
    <w:basedOn w:val="27"/>
    <w:link w:val="20"/>
    <w:qFormat/>
    <w:uiPriority w:val="0"/>
    <w:rPr>
      <w:rFonts w:ascii="宋体" w:hAnsi="宋体" w:eastAsia="宋体" w:cs="Times New Roman"/>
      <w:kern w:val="0"/>
      <w:sz w:val="24"/>
      <w:szCs w:val="24"/>
    </w:rPr>
  </w:style>
  <w:style w:type="character" w:customStyle="1" w:styleId="61">
    <w:name w:val="标题 字符"/>
    <w:basedOn w:val="27"/>
    <w:link w:val="22"/>
    <w:qFormat/>
    <w:uiPriority w:val="10"/>
    <w:rPr>
      <w:rFonts w:ascii="宋体" w:hAnsi="宋体" w:eastAsia="黑体" w:cs="Times New Roman"/>
      <w:bCs/>
      <w:kern w:val="44"/>
      <w:sz w:val="36"/>
      <w:szCs w:val="48"/>
    </w:rPr>
  </w:style>
  <w:style w:type="character" w:customStyle="1" w:styleId="62">
    <w:name w:val="正文文本首行缩进 字符"/>
    <w:basedOn w:val="38"/>
    <w:link w:val="23"/>
    <w:qFormat/>
    <w:uiPriority w:val="0"/>
    <w:rPr>
      <w:rFonts w:ascii="Calibri" w:hAnsi="Calibri" w:eastAsia="宋体" w:cs="Times New Roman"/>
      <w:szCs w:val="24"/>
    </w:rPr>
  </w:style>
  <w:style w:type="character" w:customStyle="1" w:styleId="63">
    <w:name w:val="正文文本首行缩进 2 字符"/>
    <w:basedOn w:val="58"/>
    <w:link w:val="24"/>
    <w:qFormat/>
    <w:uiPriority w:val="99"/>
    <w:rPr>
      <w:rFonts w:ascii="宋体" w:hAnsi="Calibri" w:eastAsia="宋体" w:cs="Times New Roman"/>
      <w:szCs w:val="20"/>
    </w:rPr>
  </w:style>
  <w:style w:type="paragraph" w:customStyle="1" w:styleId="64">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character" w:customStyle="1" w:styleId="65">
    <w:name w:val="font101"/>
    <w:basedOn w:val="27"/>
    <w:qFormat/>
    <w:uiPriority w:val="0"/>
    <w:rPr>
      <w:rFonts w:ascii="方正仿宋_GBK" w:hAnsi="方正仿宋_GBK" w:eastAsia="方正仿宋_GBK" w:cs="方正仿宋_GBK"/>
      <w:color w:val="000000"/>
      <w:sz w:val="24"/>
      <w:szCs w:val="24"/>
      <w:u w:val="none"/>
    </w:rPr>
  </w:style>
  <w:style w:type="paragraph" w:customStyle="1" w:styleId="66">
    <w:name w:val="_Style 16"/>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character" w:customStyle="1" w:styleId="67">
    <w:name w:val="font91"/>
    <w:basedOn w:val="27"/>
    <w:qFormat/>
    <w:uiPriority w:val="0"/>
    <w:rPr>
      <w:rFonts w:hint="eastAsia" w:ascii="方正仿宋_GBK" w:hAnsi="方正仿宋_GBK" w:eastAsia="方正仿宋_GBK" w:cs="方正仿宋_GBK"/>
      <w:color w:val="000000"/>
      <w:sz w:val="24"/>
      <w:szCs w:val="24"/>
      <w:u w:val="none"/>
    </w:rPr>
  </w:style>
  <w:style w:type="character" w:customStyle="1" w:styleId="68">
    <w:name w:val="font111"/>
    <w:basedOn w:val="27"/>
    <w:qFormat/>
    <w:uiPriority w:val="0"/>
    <w:rPr>
      <w:rFonts w:hint="eastAsia" w:ascii="方正仿宋_GBK" w:hAnsi="方正仿宋_GBK" w:eastAsia="方正仿宋_GBK" w:cs="方正仿宋_GBK"/>
      <w:b/>
      <w:color w:val="000000"/>
      <w:sz w:val="24"/>
      <w:szCs w:val="24"/>
      <w:u w:val="none"/>
    </w:rPr>
  </w:style>
  <w:style w:type="character" w:customStyle="1" w:styleId="69">
    <w:name w:val="font51"/>
    <w:basedOn w:val="27"/>
    <w:qFormat/>
    <w:uiPriority w:val="0"/>
    <w:rPr>
      <w:rFonts w:ascii="仿宋" w:hAnsi="仿宋" w:eastAsia="仿宋" w:cs="仿宋"/>
      <w:color w:val="000000"/>
      <w:sz w:val="24"/>
      <w:szCs w:val="24"/>
      <w:u w:val="none"/>
    </w:rPr>
  </w:style>
  <w:style w:type="character" w:customStyle="1" w:styleId="70">
    <w:name w:val="font41"/>
    <w:basedOn w:val="27"/>
    <w:qFormat/>
    <w:uiPriority w:val="0"/>
    <w:rPr>
      <w:rFonts w:hint="eastAsia" w:ascii="仿宋" w:hAnsi="仿宋" w:eastAsia="仿宋" w:cs="仿宋"/>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8FB22-D9ED-4E42-96B4-6C7121E4702E}">
  <ds:schemaRefs/>
</ds:datastoreItem>
</file>

<file path=docProps/app.xml><?xml version="1.0" encoding="utf-8"?>
<Properties xmlns="http://schemas.openxmlformats.org/officeDocument/2006/extended-properties" xmlns:vt="http://schemas.openxmlformats.org/officeDocument/2006/docPropsVTypes">
  <Template>Normal</Template>
  <Pages>24</Pages>
  <Words>13599</Words>
  <Characters>14742</Characters>
  <Lines>132</Lines>
  <Paragraphs>37</Paragraphs>
  <TotalTime>462</TotalTime>
  <ScaleCrop>false</ScaleCrop>
  <LinksUpToDate>false</LinksUpToDate>
  <CharactersWithSpaces>15004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2024-09-27T09:09:00Z</dcterms:created>
  <dc:creator>微软中国</dc:creator>
  <cp:lastModifiedBy>含泪的微笑</cp:lastModifiedBy>
  <cp:lastPrinted>2024-09-04T06:25:00Z</cp:lastPrinted>
  <dcterms:modified xsi:type="dcterms:W3CDTF">2024-12-19T01:24:24Z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C814DE9BBC4F43149B570EF3403C6652_13</vt:lpwstr>
  </property>
</Properties>
</file>