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39354">
      <w:pPr>
        <w:ind w:firstLine="562"/>
        <w:jc w:val="center"/>
        <w:rPr>
          <w:rFonts w:hint="eastAsia" w:ascii="仿宋" w:hAnsi="仿宋"/>
          <w:b/>
          <w:bCs/>
          <w:sz w:val="28"/>
          <w:szCs w:val="32"/>
        </w:rPr>
      </w:pPr>
      <w:bookmarkStart w:id="68" w:name="_GoBack"/>
      <w:bookmarkEnd w:id="68"/>
      <w:r>
        <w:rPr>
          <w:rFonts w:ascii="仿宋" w:hAnsi="仿宋"/>
          <w:b/>
          <w:bCs/>
          <w:sz w:val="28"/>
          <w:szCs w:val="32"/>
        </w:rPr>
        <w:drawing>
          <wp:anchor distT="0" distB="0" distL="114300" distR="114300" simplePos="0" relativeHeight="251659264" behindDoc="1" locked="0" layoutInCell="1" allowOverlap="1">
            <wp:simplePos x="0" y="0"/>
            <wp:positionH relativeFrom="column">
              <wp:posOffset>-1297305</wp:posOffset>
            </wp:positionH>
            <wp:positionV relativeFrom="paragraph">
              <wp:posOffset>-1408430</wp:posOffset>
            </wp:positionV>
            <wp:extent cx="7713980" cy="10906760"/>
            <wp:effectExtent l="0" t="0" r="190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6432" cy="10938898"/>
                    </a:xfrm>
                    <a:prstGeom prst="rect">
                      <a:avLst/>
                    </a:prstGeom>
                  </pic:spPr>
                </pic:pic>
              </a:graphicData>
            </a:graphic>
          </wp:anchor>
        </w:drawing>
      </w:r>
    </w:p>
    <w:p w14:paraId="4D18DD8D">
      <w:pPr>
        <w:ind w:firstLine="562"/>
        <w:jc w:val="center"/>
        <w:rPr>
          <w:rFonts w:hint="eastAsia" w:ascii="仿宋" w:hAnsi="仿宋"/>
          <w:b/>
          <w:bCs/>
          <w:sz w:val="28"/>
          <w:szCs w:val="32"/>
        </w:rPr>
      </w:pPr>
    </w:p>
    <w:p w14:paraId="4A1E170D">
      <w:pPr>
        <w:ind w:firstLine="562"/>
        <w:jc w:val="center"/>
        <w:rPr>
          <w:rFonts w:hint="eastAsia" w:ascii="仿宋" w:hAnsi="仿宋"/>
          <w:b/>
          <w:bCs/>
          <w:sz w:val="28"/>
          <w:szCs w:val="32"/>
        </w:rPr>
      </w:pPr>
    </w:p>
    <w:p w14:paraId="6031C2C6">
      <w:pPr>
        <w:ind w:firstLine="562"/>
        <w:rPr>
          <w:rFonts w:hint="eastAsia" w:ascii="仿宋" w:hAnsi="仿宋"/>
          <w:b/>
          <w:bCs/>
          <w:sz w:val="28"/>
          <w:szCs w:val="32"/>
        </w:rPr>
      </w:pPr>
    </w:p>
    <w:p w14:paraId="243E238B">
      <w:pPr>
        <w:spacing w:line="1000" w:lineRule="exact"/>
        <w:ind w:firstLine="0" w:firstLineChars="0"/>
        <w:jc w:val="center"/>
        <w:rPr>
          <w:rFonts w:hint="eastAsia" w:ascii="仿宋" w:hAnsi="仿宋"/>
          <w:b/>
          <w:bCs/>
          <w:color w:val="FFFFFF" w:themeColor="background1"/>
          <w:sz w:val="72"/>
          <w:szCs w:val="72"/>
          <w14:textFill>
            <w14:solidFill>
              <w14:schemeClr w14:val="bg1"/>
            </w14:solidFill>
          </w14:textFill>
        </w:rPr>
      </w:pPr>
      <w:bookmarkStart w:id="0" w:name="_Hlk131690023"/>
    </w:p>
    <w:p w14:paraId="7028449B">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hint="eastAsia" w:ascii="微软雅黑" w:hAnsi="微软雅黑" w:eastAsia="微软雅黑"/>
          <w:b/>
          <w:bCs/>
          <w:color w:val="FFFFFF" w:themeColor="background1"/>
          <w:sz w:val="72"/>
          <w:szCs w:val="72"/>
          <w14:textFill>
            <w14:solidFill>
              <w14:schemeClr w14:val="bg1"/>
            </w14:solidFill>
          </w14:textFill>
        </w:rPr>
        <w:t>中国</w:t>
      </w:r>
      <w:r>
        <w:rPr>
          <w:rFonts w:ascii="微软雅黑" w:hAnsi="微软雅黑" w:eastAsia="微软雅黑"/>
          <w:b/>
          <w:bCs/>
          <w:color w:val="FFFFFF" w:themeColor="background1"/>
          <w:sz w:val="72"/>
          <w:szCs w:val="72"/>
          <w14:textFill>
            <w14:solidFill>
              <w14:schemeClr w14:val="bg1"/>
            </w14:solidFill>
          </w14:textFill>
        </w:rPr>
        <w:t>城市轨道交通</w:t>
      </w:r>
    </w:p>
    <w:p w14:paraId="07C8AD2C">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ascii="微软雅黑" w:hAnsi="微软雅黑" w:eastAsia="微软雅黑"/>
          <w:b/>
          <w:bCs/>
          <w:color w:val="FFFFFF" w:themeColor="background1"/>
          <w:sz w:val="72"/>
          <w:szCs w:val="72"/>
          <w14:textFill>
            <w14:solidFill>
              <w14:schemeClr w14:val="bg1"/>
            </w14:solidFill>
          </w14:textFill>
        </w:rPr>
        <w:t>TOD监测月报</w:t>
      </w:r>
    </w:p>
    <w:p w14:paraId="2F05A2B4">
      <w:pPr>
        <w:spacing w:line="1000" w:lineRule="exact"/>
        <w:ind w:firstLine="0" w:firstLineChars="0"/>
        <w:jc w:val="center"/>
        <w:rPr>
          <w:rFonts w:hint="eastAsia" w:ascii="微软雅黑" w:hAnsi="微软雅黑" w:eastAsia="微软雅黑"/>
          <w:color w:val="FFFFFF" w:themeColor="background1"/>
          <w:sz w:val="32"/>
          <w:szCs w:val="32"/>
          <w14:textFill>
            <w14:solidFill>
              <w14:schemeClr w14:val="bg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474" w:footer="992" w:gutter="0"/>
          <w:pgNumType w:start="1"/>
          <w:cols w:space="425" w:num="1"/>
          <w:titlePg/>
          <w:docGrid w:type="lines" w:linePitch="326" w:charSpace="0"/>
        </w:sectPr>
      </w:pPr>
      <w:r>
        <w:rPr>
          <w:rFonts w:ascii="微软雅黑" w:hAnsi="微软雅黑" w:eastAsia="微软雅黑"/>
          <w:color w:val="FFFFFF" w:themeColor="background1"/>
          <w:sz w:val="32"/>
          <w:szCs w:val="32"/>
          <w14:textFill>
            <w14:solidFill>
              <w14:schemeClr w14:val="bg1"/>
            </w14:solidFill>
          </w14:textFill>
        </w:rPr>
        <w:t>（</w:t>
      </w:r>
      <w:bookmarkEnd w:id="0"/>
      <w:r>
        <w:rPr>
          <w:rFonts w:ascii="微软雅黑" w:hAnsi="微软雅黑" w:eastAsia="微软雅黑"/>
          <w:color w:val="FFFFFF" w:themeColor="background1"/>
          <w:sz w:val="32"/>
          <w:szCs w:val="32"/>
          <w14:textFill>
            <w14:solidFill>
              <w14:schemeClr w14:val="bg1"/>
            </w14:solidFill>
          </w14:textFill>
        </w:rPr>
        <w:t>2024年</w:t>
      </w:r>
      <w:r>
        <w:rPr>
          <w:rFonts w:hint="eastAsia" w:ascii="微软雅黑" w:hAnsi="微软雅黑" w:eastAsia="微软雅黑"/>
          <w:color w:val="FFFFFF" w:themeColor="background1"/>
          <w:sz w:val="32"/>
          <w:szCs w:val="32"/>
          <w14:textFill>
            <w14:solidFill>
              <w14:schemeClr w14:val="bg1"/>
            </w14:solidFill>
          </w14:textFill>
        </w:rPr>
        <w:t>10</w:t>
      </w:r>
      <w:r>
        <w:rPr>
          <w:rFonts w:ascii="微软雅黑" w:hAnsi="微软雅黑" w:eastAsia="微软雅黑"/>
          <w:color w:val="FFFFFF" w:themeColor="background1"/>
          <w:sz w:val="32"/>
          <w:szCs w:val="32"/>
          <w14:textFill>
            <w14:solidFill>
              <w14:schemeClr w14:val="bg1"/>
            </w14:solidFill>
          </w14:textFill>
        </w:rPr>
        <w:t>月）</w:t>
      </w:r>
    </w:p>
    <w:sdt>
      <w:sdtPr>
        <w:rPr>
          <w:rFonts w:ascii="仿宋" w:hAnsi="仿宋" w:eastAsia="仿宋" w:cstheme="minorBidi"/>
          <w:b/>
          <w:bCs/>
          <w:szCs w:val="22"/>
        </w:rPr>
        <w:id w:val="1723481355"/>
        <w:docPartObj>
          <w:docPartGallery w:val="Table of Contents"/>
          <w:docPartUnique/>
        </w:docPartObj>
      </w:sdtPr>
      <w:sdtEndPr>
        <w:rPr>
          <w:rFonts w:ascii="仿宋" w:hAnsi="仿宋" w:eastAsia="仿宋" w:cstheme="minorBidi"/>
          <w:b w:val="0"/>
          <w:bCs w:val="0"/>
          <w:szCs w:val="22"/>
          <w:lang w:val="zh-CN"/>
        </w:rPr>
      </w:sdtEndPr>
      <w:sdtContent>
        <w:p w14:paraId="62E3343E">
          <w:pPr>
            <w:pStyle w:val="42"/>
            <w:ind w:firstLine="482"/>
            <w:jc w:val="center"/>
            <w:rPr>
              <w:rStyle w:val="49"/>
              <w:rFonts w:hint="eastAsia" w:asciiTheme="minorEastAsia" w:hAnsiTheme="minorEastAsia" w:eastAsiaTheme="minorEastAsia"/>
            </w:rPr>
          </w:pPr>
          <w:bookmarkStart w:id="1" w:name="_Toc166311268"/>
          <w:bookmarkStart w:id="2" w:name="_Toc166169574"/>
          <w:bookmarkStart w:id="3" w:name="_Toc166095659"/>
          <w:r>
            <w:rPr>
              <w:rStyle w:val="49"/>
              <w:rFonts w:asciiTheme="minorEastAsia" w:hAnsiTheme="minorEastAsia" w:eastAsiaTheme="minorEastAsia"/>
            </w:rPr>
            <w:t>目录</w:t>
          </w:r>
          <w:bookmarkEnd w:id="1"/>
          <w:bookmarkEnd w:id="2"/>
          <w:bookmarkEnd w:id="3"/>
        </w:p>
        <w:p w14:paraId="48535553">
          <w:pPr>
            <w:pStyle w:val="17"/>
            <w:tabs>
              <w:tab w:val="right" w:leader="dot" w:pos="8296"/>
            </w:tabs>
            <w:rPr>
              <w:rFonts w:hint="eastAsia" w:cstheme="minorBidi"/>
              <w:kern w:val="2"/>
              <w:sz w:val="21"/>
              <w14:ligatures w14:val="standardContextual"/>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"_Toc182576413" </w:instrText>
          </w:r>
          <w:r>
            <w:fldChar w:fldCharType="separate"/>
          </w:r>
          <w:r>
            <w:rPr>
              <w:rStyle w:val="30"/>
              <w:rFonts w:hint="eastAsia" w:ascii="仿宋" w:hAnsi="仿宋"/>
              <w:kern w:val="44"/>
            </w:rPr>
            <w:t>摘要</w:t>
          </w:r>
          <w:r>
            <w:rPr>
              <w:rFonts w:hint="eastAsia"/>
            </w:rPr>
            <w:tab/>
          </w:r>
          <w:r>
            <w:rPr>
              <w:rFonts w:hint="eastAsia"/>
            </w:rPr>
            <w:fldChar w:fldCharType="begin"/>
          </w:r>
          <w:r>
            <w:rPr>
              <w:rFonts w:hint="eastAsia"/>
            </w:rPr>
            <w:instrText xml:space="preserve"> </w:instrText>
          </w:r>
          <w:r>
            <w:instrText xml:space="preserve">PAGEREF _Toc182576413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3FFD1B55">
          <w:pPr>
            <w:pStyle w:val="17"/>
            <w:tabs>
              <w:tab w:val="right" w:leader="dot" w:pos="8296"/>
            </w:tabs>
            <w:rPr>
              <w:rFonts w:hint="eastAsia" w:cstheme="minorBidi"/>
              <w:kern w:val="2"/>
              <w:sz w:val="21"/>
              <w14:ligatures w14:val="standardContextual"/>
            </w:rPr>
          </w:pPr>
          <w:r>
            <w:fldChar w:fldCharType="begin"/>
          </w:r>
          <w:r>
            <w:instrText xml:space="preserve"> HYPERLINK \l "_Toc182576414" </w:instrText>
          </w:r>
          <w:r>
            <w:fldChar w:fldCharType="separate"/>
          </w:r>
          <w:r>
            <w:rPr>
              <w:rStyle w:val="30"/>
              <w:rFonts w:hint="eastAsia" w:ascii="黑体" w:hAnsi="黑体" w:eastAsia="黑体"/>
              <w:kern w:val="44"/>
            </w:rPr>
            <w:t>一、政策动态</w:t>
          </w:r>
          <w:r>
            <w:rPr>
              <w:rFonts w:hint="eastAsia"/>
            </w:rPr>
            <w:tab/>
          </w:r>
          <w:r>
            <w:rPr>
              <w:rFonts w:hint="eastAsia"/>
            </w:rPr>
            <w:fldChar w:fldCharType="begin"/>
          </w:r>
          <w:r>
            <w:rPr>
              <w:rFonts w:hint="eastAsia"/>
            </w:rPr>
            <w:instrText xml:space="preserve"> </w:instrText>
          </w:r>
          <w:r>
            <w:instrText xml:space="preserve">PAGEREF _Toc182576414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6C0E5EF9">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"_Toc182576415" </w:instrText>
          </w:r>
          <w:r>
            <w:fldChar w:fldCharType="separate"/>
          </w:r>
          <w:r>
            <w:rPr>
              <w:rStyle w:val="30"/>
              <w:rFonts w:hint="eastAsia" w:ascii="仿宋" w:hAnsi="仿宋" w:cs="Arial"/>
              <w:lang w:bidi="ar"/>
            </w:rPr>
            <w:t>1.</w:t>
          </w:r>
          <w:r>
            <w:rPr>
              <w:rFonts w:hint="eastAsia" w:cstheme="minorBidi"/>
              <w:kern w:val="2"/>
              <w:sz w:val="21"/>
              <w14:ligatures w14:val="standardContextual"/>
            </w:rPr>
            <w:tab/>
          </w:r>
          <w:r>
            <w:rPr>
              <w:rStyle w:val="30"/>
              <w:rFonts w:hint="eastAsia" w:ascii="仿宋" w:hAnsi="仿宋" w:cs="Arial"/>
              <w:shd w:val="clear" w:color="auto" w:fill="FFFFFF"/>
            </w:rPr>
            <w:t>《城市公共交通条例》公布，明确</w:t>
          </w:r>
          <w:r>
            <w:rPr>
              <w:rStyle w:val="30"/>
              <w:rFonts w:hint="eastAsia" w:ascii="仿宋" w:hAnsi="仿宋" w:cs="Arial"/>
              <w:shd w:val="clear" w:color="auto" w:fill="FFFFFF"/>
              <w:lang w:bidi="ar"/>
            </w:rPr>
            <w:t>可以按照国家有关规定实施综合开发</w:t>
          </w:r>
          <w:r>
            <w:rPr>
              <w:rFonts w:hint="eastAsia"/>
            </w:rPr>
            <w:tab/>
          </w:r>
          <w:r>
            <w:rPr>
              <w:rFonts w:hint="eastAsia"/>
            </w:rPr>
            <w:fldChar w:fldCharType="begin"/>
          </w:r>
          <w:r>
            <w:rPr>
              <w:rFonts w:hint="eastAsia"/>
            </w:rPr>
            <w:instrText xml:space="preserve"> </w:instrText>
          </w:r>
          <w:r>
            <w:instrText xml:space="preserve">PAGEREF _Toc182576415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E5E6127">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"_Toc182576416" </w:instrText>
          </w:r>
          <w:r>
            <w:fldChar w:fldCharType="separate"/>
          </w:r>
          <w:r>
            <w:rPr>
              <w:rStyle w:val="30"/>
              <w:rFonts w:hint="eastAsia" w:ascii="仿宋" w:hAnsi="仿宋" w:cs="Arial"/>
            </w:rPr>
            <w:t>2.</w:t>
          </w:r>
          <w:r>
            <w:rPr>
              <w:rFonts w:hint="eastAsia" w:cstheme="minorBidi"/>
              <w:kern w:val="2"/>
              <w:sz w:val="21"/>
              <w14:ligatures w14:val="standardContextual"/>
            </w:rPr>
            <w:tab/>
          </w:r>
          <w:r>
            <w:rPr>
              <w:rStyle w:val="30"/>
              <w:rFonts w:hint="eastAsia" w:ascii="仿宋" w:hAnsi="仿宋" w:cs="Arial"/>
              <w:shd w:val="clear" w:color="auto" w:fill="FFFFFF"/>
            </w:rPr>
            <w:t>《城市轨道交通场站及周边土地综合开发评价》（征求意见稿）公开征求意见</w:t>
          </w:r>
          <w:r>
            <w:rPr>
              <w:rFonts w:hint="eastAsia"/>
            </w:rPr>
            <w:tab/>
          </w:r>
          <w:r>
            <w:rPr>
              <w:rFonts w:hint="eastAsia"/>
            </w:rPr>
            <w:fldChar w:fldCharType="begin"/>
          </w:r>
          <w:r>
            <w:rPr>
              <w:rFonts w:hint="eastAsia"/>
            </w:rPr>
            <w:instrText xml:space="preserve"> </w:instrText>
          </w:r>
          <w:r>
            <w:instrText xml:space="preserve">PAGEREF _Toc182576416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5C20830">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"_Toc182576417"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湖南省</w:t>
          </w:r>
          <w:r>
            <w:rPr>
              <w:rStyle w:val="30"/>
              <w:rFonts w:hint="eastAsia" w:ascii="仿宋" w:hAnsi="仿宋" w:cs="Arial"/>
              <w:shd w:val="clear" w:color="auto" w:fill="FFFFFF"/>
            </w:rPr>
            <w:t>《城市公交场站建设规范》</w:t>
          </w:r>
          <w:r>
            <w:rPr>
              <w:rStyle w:val="30"/>
              <w:rFonts w:hint="eastAsia" w:ascii="仿宋" w:hAnsi="仿宋" w:cs="Arial"/>
              <w:shd w:val="clear" w:color="auto" w:fill="FFFFFF"/>
              <w:lang w:bidi="ar"/>
            </w:rPr>
            <w:t>发布，</w:t>
          </w:r>
          <w:r>
            <w:rPr>
              <w:rStyle w:val="30"/>
              <w:rFonts w:hint="eastAsia"/>
              <w:shd w:val="clear" w:color="auto" w:fill="FFFFFF"/>
              <w:lang w:bidi="ar"/>
            </w:rPr>
            <w:t>可利用城市公交场站用地进行综合开发</w:t>
          </w:r>
          <w:r>
            <w:rPr>
              <w:rFonts w:hint="eastAsia"/>
            </w:rPr>
            <w:tab/>
          </w:r>
          <w:r>
            <w:rPr>
              <w:rFonts w:hint="eastAsia"/>
            </w:rPr>
            <w:fldChar w:fldCharType="begin"/>
          </w:r>
          <w:r>
            <w:rPr>
              <w:rFonts w:hint="eastAsia"/>
            </w:rPr>
            <w:instrText xml:space="preserve"> </w:instrText>
          </w:r>
          <w:r>
            <w:instrText xml:space="preserve">PAGEREF _Toc182576417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FC0C604">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"_Toc182576418" </w:instrText>
          </w:r>
          <w:r>
            <w:fldChar w:fldCharType="separate"/>
          </w:r>
          <w:r>
            <w:rPr>
              <w:rStyle w:val="30"/>
              <w:rFonts w:hint="eastAsia" w:ascii="仿宋" w:hAnsi="仿宋" w:cs="Arial"/>
              <w:lang w:bidi="ar"/>
            </w:rPr>
            <w:t>4.</w:t>
          </w:r>
          <w:r>
            <w:rPr>
              <w:rFonts w:hint="eastAsia" w:cstheme="minorBidi"/>
              <w:kern w:val="2"/>
              <w:sz w:val="21"/>
              <w14:ligatures w14:val="standardContextual"/>
            </w:rPr>
            <w:tab/>
          </w:r>
          <w:r>
            <w:rPr>
              <w:rStyle w:val="30"/>
              <w:rFonts w:hint="eastAsia" w:ascii="仿宋" w:hAnsi="仿宋" w:cs="Arial"/>
              <w:shd w:val="clear" w:color="auto" w:fill="FFFFFF"/>
            </w:rPr>
            <w:t>《唐山市城市综合交通体系规划》</w:t>
          </w:r>
          <w:r>
            <w:rPr>
              <w:rStyle w:val="30"/>
              <w:rFonts w:hint="eastAsia" w:ascii="仿宋" w:hAnsi="仿宋" w:cs="Arial"/>
              <w:shd w:val="clear" w:color="auto" w:fill="FFFFFF"/>
              <w:lang w:bidi="ar"/>
            </w:rPr>
            <w:t>（2019-2035）发布，规划城轨交通110公里</w:t>
          </w:r>
          <w:r>
            <w:rPr>
              <w:rFonts w:hint="eastAsia"/>
            </w:rPr>
            <w:tab/>
          </w:r>
          <w:r>
            <w:rPr>
              <w:rFonts w:hint="eastAsia"/>
            </w:rPr>
            <w:fldChar w:fldCharType="begin"/>
          </w:r>
          <w:r>
            <w:rPr>
              <w:rFonts w:hint="eastAsia"/>
            </w:rPr>
            <w:instrText xml:space="preserve"> </w:instrText>
          </w:r>
          <w:r>
            <w:instrText xml:space="preserve">PAGEREF _Toc182576418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21798A94">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"_Toc182576419"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安顺市</w:t>
          </w:r>
          <w:r>
            <w:rPr>
              <w:rStyle w:val="30"/>
              <w:rFonts w:hint="eastAsia" w:ascii="仿宋" w:hAnsi="仿宋" w:cs="Arial"/>
              <w:shd w:val="clear" w:color="auto" w:fill="FFFFFF"/>
            </w:rPr>
            <w:t>《深入推动城市公共交通高质量发展的实施方案》</w:t>
          </w:r>
          <w:r>
            <w:rPr>
              <w:rStyle w:val="30"/>
              <w:rFonts w:hint="eastAsia" w:ascii="仿宋" w:hAnsi="仿宋" w:cs="Arial"/>
              <w:shd w:val="clear" w:color="auto" w:fill="FFFFFF"/>
              <w:lang w:bidi="ar"/>
            </w:rPr>
            <w:t>明确加强用地综合开发</w:t>
          </w:r>
          <w:r>
            <w:rPr>
              <w:rFonts w:hint="eastAsia"/>
            </w:rPr>
            <w:tab/>
          </w:r>
          <w:r>
            <w:rPr>
              <w:rFonts w:hint="eastAsia"/>
            </w:rPr>
            <w:fldChar w:fldCharType="begin"/>
          </w:r>
          <w:r>
            <w:rPr>
              <w:rFonts w:hint="eastAsia"/>
            </w:rPr>
            <w:instrText xml:space="preserve"> </w:instrText>
          </w:r>
          <w:r>
            <w:instrText xml:space="preserve">PAGEREF _Toc182576419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4EC624C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"_Toc182576420" </w:instrText>
          </w:r>
          <w:r>
            <w:fldChar w:fldCharType="separate"/>
          </w:r>
          <w:r>
            <w:rPr>
              <w:rStyle w:val="30"/>
              <w:rFonts w:hint="eastAsia" w:ascii="仿宋" w:hAnsi="仿宋" w:cs="Arial"/>
              <w:lang w:bidi="ar"/>
            </w:rPr>
            <w:t>6.</w:t>
          </w:r>
          <w:r>
            <w:rPr>
              <w:rFonts w:hint="eastAsia" w:cstheme="minorBidi"/>
              <w:kern w:val="2"/>
              <w:sz w:val="21"/>
              <w14:ligatures w14:val="standardContextual"/>
            </w:rPr>
            <w:tab/>
          </w:r>
          <w:r>
            <w:rPr>
              <w:rStyle w:val="30"/>
              <w:rFonts w:hint="eastAsia" w:ascii="仿宋" w:hAnsi="仿宋" w:cs="Arial"/>
              <w:shd w:val="clear" w:color="auto" w:fill="FFFFFF"/>
            </w:rPr>
            <w:t>《佛山市城市轨道交通线网规划修编》</w:t>
          </w:r>
          <w:r>
            <w:rPr>
              <w:rStyle w:val="30"/>
              <w:rFonts w:hint="eastAsia" w:ascii="仿宋" w:hAnsi="仿宋" w:cs="Arial"/>
              <w:shd w:val="clear" w:color="auto" w:fill="FFFFFF"/>
              <w:lang w:bidi="ar"/>
            </w:rPr>
            <w:t>公示方案发布</w:t>
          </w:r>
          <w:r>
            <w:rPr>
              <w:rFonts w:hint="eastAsia"/>
            </w:rPr>
            <w:tab/>
          </w:r>
          <w:r>
            <w:rPr>
              <w:rFonts w:hint="eastAsia"/>
            </w:rPr>
            <w:fldChar w:fldCharType="begin"/>
          </w:r>
          <w:r>
            <w:rPr>
              <w:rFonts w:hint="eastAsia"/>
            </w:rPr>
            <w:instrText xml:space="preserve"> </w:instrText>
          </w:r>
          <w:r>
            <w:instrText xml:space="preserve">PAGEREF _Toc182576420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227EF942">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"_Toc182576421" </w:instrText>
          </w:r>
          <w:r>
            <w:fldChar w:fldCharType="separate"/>
          </w:r>
          <w:r>
            <w:rPr>
              <w:rStyle w:val="30"/>
              <w:rFonts w:hint="eastAsia" w:ascii="仿宋" w:hAnsi="仿宋" w:cs="Arial"/>
              <w:lang w:bidi="ar"/>
            </w:rPr>
            <w:t>7.</w:t>
          </w:r>
          <w:r>
            <w:rPr>
              <w:rFonts w:hint="eastAsia" w:cstheme="minorBidi"/>
              <w:kern w:val="2"/>
              <w:sz w:val="21"/>
              <w14:ligatures w14:val="standardContextual"/>
            </w:rPr>
            <w:tab/>
          </w:r>
          <w:r>
            <w:rPr>
              <w:rStyle w:val="30"/>
              <w:rFonts w:hint="eastAsia"/>
              <w:shd w:val="clear" w:color="auto" w:fill="FFFFFF"/>
              <w:lang w:bidi="ar"/>
            </w:rPr>
            <w:t>《湛江市城市综合交通体系规划修编》</w:t>
          </w:r>
          <w:r>
            <w:rPr>
              <w:rStyle w:val="30"/>
              <w:rFonts w:hint="eastAsia" w:ascii="仿宋" w:hAnsi="仿宋" w:cs="Arial"/>
              <w:shd w:val="clear" w:color="auto" w:fill="FFFFFF"/>
              <w:lang w:bidi="ar"/>
            </w:rPr>
            <w:t>批后公示</w:t>
          </w:r>
          <w:r>
            <w:rPr>
              <w:rFonts w:hint="eastAsia"/>
            </w:rPr>
            <w:tab/>
          </w:r>
          <w:r>
            <w:rPr>
              <w:rFonts w:hint="eastAsia"/>
            </w:rPr>
            <w:fldChar w:fldCharType="begin"/>
          </w:r>
          <w:r>
            <w:rPr>
              <w:rFonts w:hint="eastAsia"/>
            </w:rPr>
            <w:instrText xml:space="preserve"> </w:instrText>
          </w:r>
          <w:r>
            <w:instrText xml:space="preserve">PAGEREF _Toc182576421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7C2D2D91">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"_Toc182576422" </w:instrText>
          </w:r>
          <w:r>
            <w:fldChar w:fldCharType="separate"/>
          </w:r>
          <w:r>
            <w:rPr>
              <w:rStyle w:val="30"/>
              <w:rFonts w:hint="eastAsia" w:ascii="仿宋" w:hAnsi="仿宋" w:cs="Arial"/>
              <w:lang w:bidi="ar"/>
            </w:rPr>
            <w:t>8.</w:t>
          </w:r>
          <w:r>
            <w:rPr>
              <w:rFonts w:hint="eastAsia" w:cstheme="minorBidi"/>
              <w:kern w:val="2"/>
              <w:sz w:val="21"/>
              <w14:ligatures w14:val="standardContextual"/>
            </w:rPr>
            <w:tab/>
          </w:r>
          <w:r>
            <w:rPr>
              <w:rStyle w:val="30"/>
              <w:rFonts w:hint="eastAsia" w:ascii="仿宋" w:hAnsi="仿宋" w:cs="Arial"/>
              <w:shd w:val="clear" w:color="auto" w:fill="FFFFFF"/>
              <w:lang w:bidi="ar"/>
            </w:rPr>
            <w:t>《深圳市综合立体交通网规划方案（2024-2035年）》印发，全面落实“枢纽营城”理念</w:t>
          </w:r>
          <w:r>
            <w:rPr>
              <w:rFonts w:hint="eastAsia"/>
            </w:rPr>
            <w:tab/>
          </w:r>
          <w:r>
            <w:rPr>
              <w:rFonts w:hint="eastAsia"/>
            </w:rPr>
            <w:fldChar w:fldCharType="begin"/>
          </w:r>
          <w:r>
            <w:rPr>
              <w:rFonts w:hint="eastAsia"/>
            </w:rPr>
            <w:instrText xml:space="preserve"> </w:instrText>
          </w:r>
          <w:r>
            <w:instrText xml:space="preserve">PAGEREF _Toc182576422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6C3A16A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"_Toc182576423" </w:instrText>
          </w:r>
          <w:r>
            <w:fldChar w:fldCharType="separate"/>
          </w:r>
          <w:r>
            <w:rPr>
              <w:rStyle w:val="30"/>
              <w:rFonts w:hint="eastAsia" w:ascii="仿宋" w:hAnsi="仿宋" w:cs="Arial"/>
              <w:lang w:bidi="ar"/>
            </w:rPr>
            <w:t>9.</w:t>
          </w:r>
          <w:r>
            <w:rPr>
              <w:rFonts w:hint="eastAsia" w:cstheme="minorBidi"/>
              <w:kern w:val="2"/>
              <w:sz w:val="21"/>
              <w14:ligatures w14:val="standardContextual"/>
            </w:rPr>
            <w:tab/>
          </w:r>
          <w:r>
            <w:rPr>
              <w:rStyle w:val="30"/>
              <w:rFonts w:hint="eastAsia" w:ascii="仿宋" w:hAnsi="仿宋" w:cs="Arial"/>
              <w:shd w:val="clear" w:color="auto" w:fill="FFFFFF"/>
              <w:lang w:bidi="ar"/>
            </w:rPr>
            <w:t>《南京市轨道交通条例》首次修订，增加了综合开发的内容</w:t>
          </w:r>
          <w:r>
            <w:rPr>
              <w:rFonts w:hint="eastAsia"/>
            </w:rPr>
            <w:tab/>
          </w:r>
          <w:r>
            <w:rPr>
              <w:rFonts w:hint="eastAsia"/>
            </w:rPr>
            <w:fldChar w:fldCharType="begin"/>
          </w:r>
          <w:r>
            <w:rPr>
              <w:rFonts w:hint="eastAsia"/>
            </w:rPr>
            <w:instrText xml:space="preserve"> </w:instrText>
          </w:r>
          <w:r>
            <w:instrText xml:space="preserve">PAGEREF _Toc182576423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0B83CBA1">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"_Toc182576424" </w:instrText>
          </w:r>
          <w:r>
            <w:fldChar w:fldCharType="separate"/>
          </w:r>
          <w:r>
            <w:rPr>
              <w:rStyle w:val="30"/>
              <w:rFonts w:hint="eastAsia" w:ascii="仿宋" w:hAnsi="仿宋" w:cs="Arial"/>
              <w:lang w:bidi="ar"/>
            </w:rPr>
            <w:t>10.</w:t>
          </w:r>
          <w:r>
            <w:rPr>
              <w:rFonts w:hint="eastAsia" w:cstheme="minorBidi"/>
              <w:kern w:val="2"/>
              <w:sz w:val="21"/>
              <w14:ligatures w14:val="standardContextual"/>
            </w:rPr>
            <w:tab/>
          </w:r>
          <w:r>
            <w:rPr>
              <w:rStyle w:val="30"/>
              <w:rFonts w:hint="eastAsia" w:ascii="仿宋" w:hAnsi="仿宋" w:cs="Arial"/>
              <w:shd w:val="clear" w:color="auto" w:fill="FFFFFF"/>
              <w:lang w:bidi="ar"/>
            </w:rPr>
            <w:t>自然资源部发布《关于加强自然资源要素保障促进现代物流高质量发展的通知》，增加混合用地</w:t>
          </w:r>
          <w:r>
            <w:rPr>
              <w:rStyle w:val="30"/>
              <w:rFonts w:hint="eastAsia" w:ascii="仿宋" w:hAnsi="仿宋" w:cs="Arial"/>
              <w:shd w:val="clear" w:color="auto" w:fill="FFFFFF"/>
            </w:rPr>
            <w:t>供给</w:t>
          </w:r>
          <w:r>
            <w:rPr>
              <w:rFonts w:hint="eastAsia"/>
            </w:rPr>
            <w:tab/>
          </w:r>
          <w:r>
            <w:rPr>
              <w:rFonts w:hint="eastAsia"/>
            </w:rPr>
            <w:fldChar w:fldCharType="begin"/>
          </w:r>
          <w:r>
            <w:rPr>
              <w:rFonts w:hint="eastAsia"/>
            </w:rPr>
            <w:instrText xml:space="preserve"> </w:instrText>
          </w:r>
          <w:r>
            <w:instrText xml:space="preserve">PAGEREF _Toc182576424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5A279390">
          <w:pPr>
            <w:pStyle w:val="17"/>
            <w:tabs>
              <w:tab w:val="right" w:leader="dot" w:pos="8296"/>
            </w:tabs>
            <w:rPr>
              <w:rFonts w:hint="eastAsia" w:cstheme="minorBidi"/>
              <w:kern w:val="2"/>
              <w:sz w:val="21"/>
              <w14:ligatures w14:val="standardContextual"/>
            </w:rPr>
          </w:pPr>
          <w:r>
            <w:fldChar w:fldCharType="begin"/>
          </w:r>
          <w:r>
            <w:instrText xml:space="preserve"> HYPERLINK \l "_Toc182576425" </w:instrText>
          </w:r>
          <w:r>
            <w:fldChar w:fldCharType="separate"/>
          </w:r>
          <w:r>
            <w:rPr>
              <w:rStyle w:val="30"/>
              <w:rFonts w:hint="eastAsia" w:ascii="黑体" w:hAnsi="黑体" w:eastAsia="黑体"/>
              <w:kern w:val="44"/>
            </w:rPr>
            <w:t>二、行业动态</w:t>
          </w:r>
          <w:r>
            <w:rPr>
              <w:rFonts w:hint="eastAsia"/>
            </w:rPr>
            <w:tab/>
          </w:r>
          <w:r>
            <w:rPr>
              <w:rFonts w:hint="eastAsia"/>
            </w:rPr>
            <w:fldChar w:fldCharType="begin"/>
          </w:r>
          <w:r>
            <w:rPr>
              <w:rFonts w:hint="eastAsia"/>
            </w:rPr>
            <w:instrText xml:space="preserve"> </w:instrText>
          </w:r>
          <w:r>
            <w:instrText xml:space="preserve">PAGEREF _Toc182576425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3B54DE5E">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"_Toc182576426" </w:instrText>
          </w:r>
          <w:r>
            <w:fldChar w:fldCharType="separate"/>
          </w:r>
          <w:r>
            <w:rPr>
              <w:rStyle w:val="30"/>
              <w:rFonts w:hint="eastAsia" w:ascii="仿宋" w:hAnsi="仿宋" w:cs="Arial"/>
              <w:lang w:bidi="ar"/>
            </w:rPr>
            <w:t>1.</w:t>
          </w:r>
          <w:r>
            <w:rPr>
              <w:rFonts w:hint="eastAsia" w:cstheme="minorBidi"/>
              <w:kern w:val="2"/>
              <w:sz w:val="21"/>
              <w14:ligatures w14:val="standardContextual"/>
            </w:rPr>
            <w:tab/>
          </w:r>
          <w:r>
            <w:rPr>
              <w:rStyle w:val="30"/>
              <w:rFonts w:hint="eastAsia" w:ascii="仿宋" w:hAnsi="仿宋" w:cs="Arial"/>
              <w:shd w:val="clear" w:color="auto" w:fill="FFFFFF"/>
              <w:lang w:bidi="ar"/>
            </w:rPr>
            <w:t>我国交通强国指数位居全球第六位，比20</w:t>
          </w:r>
          <w:r>
            <w:rPr>
              <w:rStyle w:val="30"/>
              <w:rFonts w:hint="eastAsia" w:ascii="仿宋" w:hAnsi="仿宋" w:cs="Arial"/>
              <w:shd w:val="clear" w:color="auto" w:fill="FFFFFF"/>
            </w:rPr>
            <w:t>12</w:t>
          </w:r>
          <w:r>
            <w:rPr>
              <w:rStyle w:val="30"/>
              <w:rFonts w:hint="eastAsia" w:ascii="仿宋" w:hAnsi="仿宋" w:cs="Arial"/>
              <w:shd w:val="clear" w:color="auto" w:fill="FFFFFF"/>
              <w:lang w:bidi="ar"/>
            </w:rPr>
            <w:t>年上升3位</w:t>
          </w:r>
          <w:r>
            <w:rPr>
              <w:rFonts w:hint="eastAsia"/>
            </w:rPr>
            <w:tab/>
          </w:r>
          <w:r>
            <w:rPr>
              <w:rFonts w:hint="eastAsia"/>
            </w:rPr>
            <w:fldChar w:fldCharType="begin"/>
          </w:r>
          <w:r>
            <w:rPr>
              <w:rFonts w:hint="eastAsia"/>
            </w:rPr>
            <w:instrText xml:space="preserve"> </w:instrText>
          </w:r>
          <w:r>
            <w:instrText xml:space="preserve">PAGEREF _Toc182576426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41E39AE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"_Toc182576427" </w:instrText>
          </w:r>
          <w:r>
            <w:fldChar w:fldCharType="separate"/>
          </w:r>
          <w:r>
            <w:rPr>
              <w:rStyle w:val="30"/>
              <w:rFonts w:hint="eastAsia" w:ascii="仿宋" w:hAnsi="仿宋" w:cs="Arial"/>
              <w:lang w:bidi="ar"/>
            </w:rPr>
            <w:t>2.</w:t>
          </w:r>
          <w:r>
            <w:rPr>
              <w:rFonts w:hint="eastAsia" w:cstheme="minorBidi"/>
              <w:kern w:val="2"/>
              <w:sz w:val="21"/>
              <w14:ligatures w14:val="standardContextual"/>
            </w:rPr>
            <w:tab/>
          </w:r>
          <w:r>
            <w:rPr>
              <w:rStyle w:val="30"/>
              <w:rFonts w:hint="eastAsia" w:ascii="仿宋" w:hAnsi="仿宋" w:cs="Arial"/>
              <w:shd w:val="clear" w:color="auto" w:fill="FFFFFF"/>
              <w:lang w:bidi="ar"/>
            </w:rPr>
            <w:t>2024中国城市轨道交通TOD论坛在深举办</w:t>
          </w:r>
          <w:r>
            <w:rPr>
              <w:rFonts w:hint="eastAsia"/>
            </w:rPr>
            <w:tab/>
          </w:r>
          <w:r>
            <w:rPr>
              <w:rFonts w:hint="eastAsia"/>
            </w:rPr>
            <w:fldChar w:fldCharType="begin"/>
          </w:r>
          <w:r>
            <w:rPr>
              <w:rFonts w:hint="eastAsia"/>
            </w:rPr>
            <w:instrText xml:space="preserve"> </w:instrText>
          </w:r>
          <w:r>
            <w:instrText xml:space="preserve">PAGEREF _Toc182576427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53BB940C">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"_Toc182576428"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北京大学深圳研究生院-蕾奥“TOD+城市运营”联合实验室正式揭牌</w:t>
          </w:r>
          <w:r>
            <w:rPr>
              <w:rFonts w:hint="eastAsia"/>
            </w:rPr>
            <w:tab/>
          </w:r>
          <w:r>
            <w:rPr>
              <w:rFonts w:hint="eastAsia"/>
            </w:rPr>
            <w:fldChar w:fldCharType="begin"/>
          </w:r>
          <w:r>
            <w:rPr>
              <w:rFonts w:hint="eastAsia"/>
            </w:rPr>
            <w:instrText xml:space="preserve"> </w:instrText>
          </w:r>
          <w:r>
            <w:instrText xml:space="preserve">PAGEREF _Toc182576428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5E2B664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"_Toc182576429" </w:instrText>
          </w:r>
          <w:r>
            <w:fldChar w:fldCharType="separate"/>
          </w:r>
          <w:r>
            <w:rPr>
              <w:rStyle w:val="30"/>
              <w:rFonts w:hint="eastAsia" w:ascii="仿宋" w:hAnsi="仿宋"/>
            </w:rPr>
            <w:t>4.</w:t>
          </w:r>
          <w:r>
            <w:rPr>
              <w:rFonts w:hint="eastAsia" w:cstheme="minorBidi"/>
              <w:kern w:val="2"/>
              <w:sz w:val="21"/>
              <w14:ligatures w14:val="standardContextual"/>
            </w:rPr>
            <w:tab/>
          </w:r>
          <w:r>
            <w:rPr>
              <w:rStyle w:val="30"/>
              <w:rFonts w:hint="eastAsia" w:ascii="仿宋" w:hAnsi="仿宋" w:cs="Arial"/>
              <w:shd w:val="clear" w:color="auto" w:fill="FFFFFF"/>
              <w:lang w:bidi="ar"/>
            </w:rPr>
            <w:t>《中国城轨TOD指数报告（</w:t>
          </w:r>
          <w:r>
            <w:rPr>
              <w:rStyle w:val="30"/>
              <w:rFonts w:hint="eastAsia" w:ascii="仿宋" w:hAnsi="仿宋" w:cs="Arial"/>
              <w:shd w:val="clear" w:color="auto" w:fill="FFFFFF"/>
            </w:rPr>
            <w:t>2024</w:t>
          </w:r>
          <w:r>
            <w:rPr>
              <w:rStyle w:val="30"/>
              <w:rFonts w:hint="eastAsia" w:ascii="仿宋" w:hAnsi="仿宋" w:cs="Arial"/>
              <w:shd w:val="clear" w:color="auto" w:fill="FFFFFF"/>
              <w:lang w:bidi="ar"/>
            </w:rPr>
            <w:t>）》正式发布，都市圈跨城轨交联系逐年加强</w:t>
          </w:r>
          <w:r>
            <w:rPr>
              <w:rFonts w:hint="eastAsia"/>
            </w:rPr>
            <w:tab/>
          </w:r>
          <w:r>
            <w:rPr>
              <w:rFonts w:hint="eastAsia"/>
            </w:rPr>
            <w:fldChar w:fldCharType="begin"/>
          </w:r>
          <w:r>
            <w:rPr>
              <w:rFonts w:hint="eastAsia"/>
            </w:rPr>
            <w:instrText xml:space="preserve"> </w:instrText>
          </w:r>
          <w:r>
            <w:instrText xml:space="preserve">PAGEREF _Toc182576429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42007EE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"_Toc182576430"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金义高铁站区块规划出炉，打造“未来空铁枢纽，</w:t>
          </w:r>
          <w:r>
            <w:rPr>
              <w:rStyle w:val="30"/>
              <w:rFonts w:hint="eastAsia" w:ascii="仿宋" w:hAnsi="仿宋" w:cs="Arial"/>
              <w:shd w:val="clear" w:color="auto" w:fill="FFFFFF"/>
            </w:rPr>
            <w:t>品质</w:t>
          </w:r>
          <w:r>
            <w:rPr>
              <w:rStyle w:val="30"/>
              <w:rFonts w:hint="eastAsia" w:ascii="仿宋" w:hAnsi="仿宋" w:cs="Arial"/>
              <w:shd w:val="clear" w:color="auto" w:fill="FFFFFF"/>
              <w:lang w:bidi="ar"/>
            </w:rPr>
            <w:t>低碳智城”</w:t>
          </w:r>
          <w:r>
            <w:rPr>
              <w:rFonts w:hint="eastAsia"/>
            </w:rPr>
            <w:tab/>
          </w:r>
          <w:r>
            <w:rPr>
              <w:rFonts w:hint="eastAsia"/>
            </w:rPr>
            <w:fldChar w:fldCharType="begin"/>
          </w:r>
          <w:r>
            <w:rPr>
              <w:rFonts w:hint="eastAsia"/>
            </w:rPr>
            <w:instrText xml:space="preserve"> </w:instrText>
          </w:r>
          <w:r>
            <w:instrText xml:space="preserve">PAGEREF _Toc182576430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2812139B">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"_Toc182576431" </w:instrText>
          </w:r>
          <w:r>
            <w:fldChar w:fldCharType="separate"/>
          </w:r>
          <w:r>
            <w:rPr>
              <w:rStyle w:val="30"/>
              <w:rFonts w:hint="eastAsia" w:ascii="仿宋" w:hAnsi="仿宋" w:cs="Arial"/>
              <w:lang w:bidi="ar"/>
            </w:rPr>
            <w:t>6.</w:t>
          </w:r>
          <w:r>
            <w:rPr>
              <w:rFonts w:hint="eastAsia" w:cstheme="minorBidi"/>
              <w:kern w:val="2"/>
              <w:sz w:val="21"/>
              <w14:ligatures w14:val="standardContextual"/>
            </w:rPr>
            <w:tab/>
          </w:r>
          <w:r>
            <w:rPr>
              <w:rStyle w:val="30"/>
              <w:rFonts w:hint="eastAsia" w:ascii="仿宋" w:hAnsi="仿宋" w:cs="Arial"/>
              <w:shd w:val="clear" w:color="auto" w:fill="FFFFFF"/>
              <w:lang w:bidi="ar"/>
            </w:rPr>
            <w:t>上海宝山18号线通南路TOD项目规划曝光</w:t>
          </w:r>
          <w:r>
            <w:rPr>
              <w:rFonts w:hint="eastAsia"/>
            </w:rPr>
            <w:tab/>
          </w:r>
          <w:r>
            <w:rPr>
              <w:rFonts w:hint="eastAsia"/>
            </w:rPr>
            <w:fldChar w:fldCharType="begin"/>
          </w:r>
          <w:r>
            <w:rPr>
              <w:rFonts w:hint="eastAsia"/>
            </w:rPr>
            <w:instrText xml:space="preserve"> </w:instrText>
          </w:r>
          <w:r>
            <w:instrText xml:space="preserve">PAGEREF _Toc182576431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5886DC0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"_Toc182576432" </w:instrText>
          </w:r>
          <w:r>
            <w:fldChar w:fldCharType="separate"/>
          </w:r>
          <w:r>
            <w:rPr>
              <w:rStyle w:val="30"/>
              <w:rFonts w:hint="eastAsia" w:ascii="仿宋" w:hAnsi="仿宋" w:cs="Arial"/>
              <w:lang w:bidi="ar"/>
            </w:rPr>
            <w:t>7.</w:t>
          </w:r>
          <w:r>
            <w:rPr>
              <w:rFonts w:hint="eastAsia" w:cstheme="minorBidi"/>
              <w:kern w:val="2"/>
              <w:sz w:val="21"/>
              <w14:ligatures w14:val="standardContextual"/>
            </w:rPr>
            <w:tab/>
          </w:r>
          <w:r>
            <w:rPr>
              <w:rStyle w:val="30"/>
              <w:rFonts w:hint="eastAsia" w:ascii="仿宋" w:hAnsi="仿宋" w:cs="Arial"/>
              <w:shd w:val="clear" w:color="auto" w:fill="FFFFFF"/>
              <w:lang w:bidi="ar"/>
            </w:rPr>
            <w:t>9月城市轨道交通客运量同比</w:t>
          </w:r>
          <w:r>
            <w:rPr>
              <w:rStyle w:val="30"/>
              <w:rFonts w:hint="eastAsia" w:ascii="仿宋" w:hAnsi="仿宋" w:cs="Arial"/>
              <w:shd w:val="clear" w:color="auto" w:fill="FFFFFF"/>
            </w:rPr>
            <w:t>增加</w:t>
          </w:r>
          <w:r>
            <w:rPr>
              <w:rStyle w:val="30"/>
              <w:rFonts w:hint="eastAsia" w:ascii="仿宋" w:hAnsi="仿宋" w:cs="Arial"/>
              <w:shd w:val="clear" w:color="auto" w:fill="FFFFFF"/>
              <w:lang w:bidi="ar"/>
            </w:rPr>
            <w:t>1亿人次</w:t>
          </w:r>
          <w:r>
            <w:rPr>
              <w:rFonts w:hint="eastAsia"/>
            </w:rPr>
            <w:tab/>
          </w:r>
          <w:r>
            <w:rPr>
              <w:rFonts w:hint="eastAsia"/>
            </w:rPr>
            <w:fldChar w:fldCharType="begin"/>
          </w:r>
          <w:r>
            <w:rPr>
              <w:rFonts w:hint="eastAsia"/>
            </w:rPr>
            <w:instrText xml:space="preserve"> </w:instrText>
          </w:r>
          <w:r>
            <w:instrText xml:space="preserve">PAGEREF _Toc182576432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48B4C82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"_Toc182576433" </w:instrText>
          </w:r>
          <w:r>
            <w:fldChar w:fldCharType="separate"/>
          </w:r>
          <w:r>
            <w:rPr>
              <w:rStyle w:val="30"/>
              <w:rFonts w:hint="eastAsia" w:ascii="仿宋" w:hAnsi="仿宋" w:cs="Arial"/>
              <w:lang w:bidi="ar"/>
            </w:rPr>
            <w:t>8.</w:t>
          </w:r>
          <w:r>
            <w:rPr>
              <w:rFonts w:hint="eastAsia" w:cstheme="minorBidi"/>
              <w:kern w:val="2"/>
              <w:sz w:val="21"/>
              <w14:ligatures w14:val="standardContextual"/>
            </w:rPr>
            <w:tab/>
          </w:r>
          <w:r>
            <w:rPr>
              <w:rStyle w:val="30"/>
              <w:rFonts w:hint="eastAsia" w:ascii="仿宋" w:hAnsi="仿宋" w:cs="Arial"/>
              <w:shd w:val="clear" w:color="auto" w:fill="FFFFFF"/>
              <w:lang w:bidi="ar"/>
            </w:rPr>
            <w:t>高铁杭州临平</w:t>
          </w:r>
          <w:r>
            <w:rPr>
              <w:rStyle w:val="30"/>
              <w:rFonts w:hint="eastAsia" w:ascii="仿宋" w:hAnsi="仿宋" w:cs="Arial"/>
              <w:shd w:val="clear" w:color="auto" w:fill="FFFFFF"/>
            </w:rPr>
            <w:t>北站</w:t>
          </w:r>
          <w:r>
            <w:rPr>
              <w:rStyle w:val="30"/>
              <w:rFonts w:hint="eastAsia" w:ascii="仿宋" w:hAnsi="仿宋" w:cs="Arial"/>
              <w:shd w:val="clear" w:color="auto" w:fill="FFFFFF"/>
              <w:lang w:bidi="ar"/>
            </w:rPr>
            <w:t>设计方案出炉</w:t>
          </w:r>
          <w:r>
            <w:rPr>
              <w:rFonts w:hint="eastAsia"/>
            </w:rPr>
            <w:tab/>
          </w:r>
          <w:r>
            <w:rPr>
              <w:rFonts w:hint="eastAsia"/>
            </w:rPr>
            <w:fldChar w:fldCharType="begin"/>
          </w:r>
          <w:r>
            <w:rPr>
              <w:rFonts w:hint="eastAsia"/>
            </w:rPr>
            <w:instrText xml:space="preserve"> </w:instrText>
          </w:r>
          <w:r>
            <w:instrText xml:space="preserve">PAGEREF _Toc182576433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5A6F2315">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"_Toc182576434" </w:instrText>
          </w:r>
          <w:r>
            <w:fldChar w:fldCharType="separate"/>
          </w:r>
          <w:r>
            <w:rPr>
              <w:rStyle w:val="30"/>
              <w:rFonts w:hint="eastAsia" w:ascii="仿宋" w:hAnsi="仿宋" w:cs="Arial"/>
              <w:lang w:bidi="ar"/>
            </w:rPr>
            <w:t>9.</w:t>
          </w:r>
          <w:r>
            <w:rPr>
              <w:rFonts w:hint="eastAsia" w:cstheme="minorBidi"/>
              <w:kern w:val="2"/>
              <w:sz w:val="21"/>
              <w14:ligatures w14:val="standardContextual"/>
            </w:rPr>
            <w:tab/>
          </w:r>
          <w:r>
            <w:rPr>
              <w:rStyle w:val="30"/>
              <w:rFonts w:hint="eastAsia" w:ascii="仿宋" w:hAnsi="仿宋" w:cs="Arial"/>
              <w:shd w:val="clear" w:color="auto" w:fill="FFFFFF"/>
              <w:lang w:bidi="ar"/>
            </w:rPr>
            <w:t>北京西站拟建公园型交通枢纽示范区</w:t>
          </w:r>
          <w:r>
            <w:rPr>
              <w:rFonts w:hint="eastAsia"/>
            </w:rPr>
            <w:tab/>
          </w:r>
          <w:r>
            <w:rPr>
              <w:rFonts w:hint="eastAsia"/>
            </w:rPr>
            <w:fldChar w:fldCharType="begin"/>
          </w:r>
          <w:r>
            <w:rPr>
              <w:rFonts w:hint="eastAsia"/>
            </w:rPr>
            <w:instrText xml:space="preserve"> </w:instrText>
          </w:r>
          <w:r>
            <w:instrText xml:space="preserve">PAGEREF _Toc182576434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74A1CF31">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"_Toc182576435" </w:instrText>
          </w:r>
          <w:r>
            <w:fldChar w:fldCharType="separate"/>
          </w:r>
          <w:r>
            <w:rPr>
              <w:rStyle w:val="30"/>
              <w:rFonts w:hint="eastAsia" w:ascii="仿宋" w:hAnsi="仿宋" w:cs="Arial"/>
              <w:lang w:bidi="ar"/>
            </w:rPr>
            <w:t>10.</w:t>
          </w:r>
          <w:r>
            <w:rPr>
              <w:rFonts w:hint="eastAsia" w:cstheme="minorBidi"/>
              <w:kern w:val="2"/>
              <w:sz w:val="21"/>
              <w14:ligatures w14:val="standardContextual"/>
            </w:rPr>
            <w:tab/>
          </w:r>
          <w:r>
            <w:rPr>
              <w:rStyle w:val="30"/>
              <w:rFonts w:hint="eastAsia" w:ascii="仿宋" w:hAnsi="仿宋" w:cs="Arial"/>
              <w:shd w:val="clear" w:color="auto" w:fill="FFFFFF"/>
              <w:lang w:bidi="ar"/>
            </w:rPr>
            <w:t>深圳五和项目开展计划立项及更新意愿草案公示</w:t>
          </w:r>
          <w:r>
            <w:rPr>
              <w:rFonts w:hint="eastAsia"/>
            </w:rPr>
            <w:tab/>
          </w:r>
          <w:r>
            <w:rPr>
              <w:rFonts w:hint="eastAsia"/>
            </w:rPr>
            <w:fldChar w:fldCharType="begin"/>
          </w:r>
          <w:r>
            <w:rPr>
              <w:rFonts w:hint="eastAsia"/>
            </w:rPr>
            <w:instrText xml:space="preserve"> </w:instrText>
          </w:r>
          <w:r>
            <w:instrText xml:space="preserve">PAGEREF _Toc182576435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7E968096">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"_Toc182576436" </w:instrText>
          </w:r>
          <w:r>
            <w:fldChar w:fldCharType="separate"/>
          </w:r>
          <w:r>
            <w:rPr>
              <w:rStyle w:val="30"/>
              <w:rFonts w:hint="eastAsia" w:ascii="仿宋" w:hAnsi="仿宋" w:cs="Arial"/>
              <w:lang w:bidi="ar"/>
            </w:rPr>
            <w:t>11.</w:t>
          </w:r>
          <w:r>
            <w:rPr>
              <w:rFonts w:hint="eastAsia" w:cstheme="minorBidi"/>
              <w:kern w:val="2"/>
              <w:sz w:val="21"/>
              <w14:ligatures w14:val="standardContextual"/>
            </w:rPr>
            <w:tab/>
          </w:r>
          <w:r>
            <w:rPr>
              <w:rStyle w:val="30"/>
              <w:rFonts w:hint="eastAsia" w:ascii="仿宋" w:hAnsi="仿宋" w:cs="Arial"/>
              <w:shd w:val="clear" w:color="auto" w:fill="FFFFFF"/>
            </w:rPr>
            <w:t>《2024年度中国主要城市通勤监测报告》</w:t>
          </w:r>
          <w:r>
            <w:rPr>
              <w:rStyle w:val="30"/>
              <w:rFonts w:hint="eastAsia" w:ascii="仿宋" w:hAnsi="仿宋" w:cs="Arial"/>
              <w:shd w:val="clear" w:color="auto" w:fill="FFFFFF"/>
              <w:lang w:bidi="ar"/>
            </w:rPr>
            <w:t>发布</w:t>
          </w:r>
          <w:r>
            <w:rPr>
              <w:rFonts w:hint="eastAsia"/>
            </w:rPr>
            <w:tab/>
          </w:r>
          <w:r>
            <w:rPr>
              <w:rFonts w:hint="eastAsia"/>
            </w:rPr>
            <w:fldChar w:fldCharType="begin"/>
          </w:r>
          <w:r>
            <w:rPr>
              <w:rFonts w:hint="eastAsia"/>
            </w:rPr>
            <w:instrText xml:space="preserve"> </w:instrText>
          </w:r>
          <w:r>
            <w:instrText xml:space="preserve">PAGEREF _Toc182576436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6ECFE902">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"_Toc182576437" </w:instrText>
          </w:r>
          <w:r>
            <w:fldChar w:fldCharType="separate"/>
          </w:r>
          <w:r>
            <w:rPr>
              <w:rStyle w:val="30"/>
              <w:rFonts w:hint="eastAsia" w:ascii="仿宋" w:hAnsi="仿宋" w:cs="Arial"/>
              <w:lang w:bidi="ar"/>
            </w:rPr>
            <w:t>12.</w:t>
          </w:r>
          <w:r>
            <w:rPr>
              <w:rFonts w:hint="eastAsia" w:cstheme="minorBidi"/>
              <w:kern w:val="2"/>
              <w:sz w:val="21"/>
              <w14:ligatures w14:val="standardContextual"/>
            </w:rPr>
            <w:tab/>
          </w:r>
          <w:r>
            <w:rPr>
              <w:rStyle w:val="30"/>
              <w:rFonts w:hint="eastAsia" w:ascii="仿宋" w:hAnsi="仿宋" w:cs="Arial"/>
              <w:shd w:val="clear" w:color="auto" w:fill="FFFFFF"/>
              <w:lang w:bidi="ar"/>
            </w:rPr>
            <w:t>到2027年重庆轨道交通运营里程将突破700公里</w:t>
          </w:r>
          <w:r>
            <w:rPr>
              <w:rFonts w:hint="eastAsia"/>
            </w:rPr>
            <w:tab/>
          </w:r>
          <w:r>
            <w:rPr>
              <w:rFonts w:hint="eastAsia"/>
            </w:rPr>
            <w:fldChar w:fldCharType="begin"/>
          </w:r>
          <w:r>
            <w:rPr>
              <w:rFonts w:hint="eastAsia"/>
            </w:rPr>
            <w:instrText xml:space="preserve"> </w:instrText>
          </w:r>
          <w:r>
            <w:instrText xml:space="preserve">PAGEREF _Toc182576437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392AEEEF">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"_Toc182576438" </w:instrText>
          </w:r>
          <w:r>
            <w:fldChar w:fldCharType="separate"/>
          </w:r>
          <w:r>
            <w:rPr>
              <w:rStyle w:val="30"/>
              <w:rFonts w:hint="eastAsia" w:ascii="仿宋" w:hAnsi="仿宋" w:cs="Arial"/>
              <w:lang w:bidi="ar"/>
            </w:rPr>
            <w:t>13.</w:t>
          </w:r>
          <w:r>
            <w:rPr>
              <w:rFonts w:hint="eastAsia" w:cstheme="minorBidi"/>
              <w:kern w:val="2"/>
              <w:sz w:val="21"/>
              <w14:ligatures w14:val="standardContextual"/>
            </w:rPr>
            <w:tab/>
          </w:r>
          <w:r>
            <w:rPr>
              <w:rStyle w:val="30"/>
              <w:rFonts w:hint="eastAsia" w:ascii="仿宋" w:hAnsi="仿宋" w:cs="Arial"/>
              <w:shd w:val="clear" w:color="auto" w:fill="FFFFFF"/>
              <w:lang w:bidi="ar"/>
            </w:rPr>
            <w:t>上海基本建成枢纽型、功能性、网络化综合交通体系</w:t>
          </w:r>
          <w:r>
            <w:rPr>
              <w:rFonts w:hint="eastAsia"/>
            </w:rPr>
            <w:tab/>
          </w:r>
          <w:r>
            <w:rPr>
              <w:rFonts w:hint="eastAsia"/>
            </w:rPr>
            <w:fldChar w:fldCharType="begin"/>
          </w:r>
          <w:r>
            <w:rPr>
              <w:rFonts w:hint="eastAsia"/>
            </w:rPr>
            <w:instrText xml:space="preserve"> </w:instrText>
          </w:r>
          <w:r>
            <w:instrText xml:space="preserve">PAGEREF _Toc182576438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3F1D0E62">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"_Toc182576439" </w:instrText>
          </w:r>
          <w:r>
            <w:fldChar w:fldCharType="separate"/>
          </w:r>
          <w:r>
            <w:rPr>
              <w:rStyle w:val="30"/>
              <w:rFonts w:hint="eastAsia" w:ascii="仿宋" w:hAnsi="仿宋" w:cs="Arial"/>
              <w:lang w:bidi="ar"/>
            </w:rPr>
            <w:t>14.</w:t>
          </w:r>
          <w:r>
            <w:rPr>
              <w:rFonts w:hint="eastAsia" w:cstheme="minorBidi"/>
              <w:kern w:val="2"/>
              <w:sz w:val="21"/>
              <w14:ligatures w14:val="standardContextual"/>
            </w:rPr>
            <w:tab/>
          </w:r>
          <w:r>
            <w:rPr>
              <w:rStyle w:val="30"/>
              <w:rFonts w:hint="eastAsia" w:ascii="仿宋" w:hAnsi="仿宋" w:cs="Arial"/>
              <w:shd w:val="clear" w:color="auto" w:fill="FFFFFF"/>
              <w:lang w:bidi="ar"/>
            </w:rPr>
            <w:t>武汉市东湖新城</w:t>
          </w:r>
          <w:r>
            <w:rPr>
              <w:rStyle w:val="30"/>
              <w:rFonts w:hint="eastAsia" w:ascii="仿宋" w:hAnsi="仿宋" w:cs="Arial"/>
              <w:shd w:val="clear" w:color="auto" w:fill="FFFFFF"/>
            </w:rPr>
            <w:t>TOD</w:t>
          </w:r>
          <w:r>
            <w:rPr>
              <w:rStyle w:val="30"/>
              <w:rFonts w:hint="eastAsia" w:ascii="仿宋" w:hAnsi="仿宋" w:cs="Arial"/>
              <w:shd w:val="clear" w:color="auto" w:fill="FFFFFF"/>
              <w:lang w:bidi="ar"/>
            </w:rPr>
            <w:t>地块控制性详细规划导则修改公示</w:t>
          </w:r>
          <w:r>
            <w:rPr>
              <w:rFonts w:hint="eastAsia"/>
            </w:rPr>
            <w:tab/>
          </w:r>
          <w:r>
            <w:rPr>
              <w:rFonts w:hint="eastAsia"/>
            </w:rPr>
            <w:fldChar w:fldCharType="begin"/>
          </w:r>
          <w:r>
            <w:rPr>
              <w:rFonts w:hint="eastAsia"/>
            </w:rPr>
            <w:instrText xml:space="preserve"> </w:instrText>
          </w:r>
          <w:r>
            <w:instrText xml:space="preserve">PAGEREF _Toc182576439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58BD8AFC">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"_Toc182576440" </w:instrText>
          </w:r>
          <w:r>
            <w:fldChar w:fldCharType="separate"/>
          </w:r>
          <w:r>
            <w:rPr>
              <w:rStyle w:val="30"/>
              <w:rFonts w:hint="eastAsia" w:ascii="仿宋" w:hAnsi="仿宋" w:cs="Arial"/>
              <w:lang w:bidi="ar"/>
            </w:rPr>
            <w:t>15.</w:t>
          </w:r>
          <w:r>
            <w:rPr>
              <w:rFonts w:hint="eastAsia" w:cstheme="minorBidi"/>
              <w:kern w:val="2"/>
              <w:sz w:val="21"/>
              <w14:ligatures w14:val="standardContextual"/>
            </w:rPr>
            <w:tab/>
          </w:r>
          <w:r>
            <w:rPr>
              <w:rStyle w:val="30"/>
              <w:rFonts w:hint="eastAsia" w:ascii="仿宋" w:hAnsi="仿宋" w:cs="Arial"/>
              <w:shd w:val="clear" w:color="auto" w:fill="FFFFFF"/>
              <w:lang w:bidi="ar"/>
            </w:rPr>
            <w:t>《嘉兴高铁新城地下空间专项规划》批前公告</w:t>
          </w:r>
          <w:r>
            <w:rPr>
              <w:rFonts w:hint="eastAsia"/>
            </w:rPr>
            <w:tab/>
          </w:r>
          <w:r>
            <w:rPr>
              <w:rFonts w:hint="eastAsia"/>
            </w:rPr>
            <w:fldChar w:fldCharType="begin"/>
          </w:r>
          <w:r>
            <w:rPr>
              <w:rFonts w:hint="eastAsia"/>
            </w:rPr>
            <w:instrText xml:space="preserve"> </w:instrText>
          </w:r>
          <w:r>
            <w:instrText xml:space="preserve">PAGEREF _Toc182576440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7A89C706">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"_Toc182576441" </w:instrText>
          </w:r>
          <w:r>
            <w:fldChar w:fldCharType="separate"/>
          </w:r>
          <w:r>
            <w:rPr>
              <w:rStyle w:val="30"/>
              <w:rFonts w:hint="eastAsia" w:ascii="仿宋" w:hAnsi="仿宋" w:cs="Arial"/>
              <w:lang w:bidi="ar"/>
            </w:rPr>
            <w:t>16.</w:t>
          </w:r>
          <w:r>
            <w:rPr>
              <w:rFonts w:hint="eastAsia" w:cstheme="minorBidi"/>
              <w:kern w:val="2"/>
              <w:sz w:val="21"/>
              <w14:ligatures w14:val="standardContextual"/>
            </w:rPr>
            <w:tab/>
          </w:r>
          <w:r>
            <w:rPr>
              <w:rStyle w:val="30"/>
              <w:rFonts w:hint="eastAsia" w:ascii="仿宋" w:hAnsi="仿宋" w:cs="Arial"/>
              <w:shd w:val="clear" w:color="auto" w:fill="FFFFFF"/>
              <w:lang w:bidi="ar"/>
            </w:rPr>
            <w:t>济源市政府与河南铁建投集团签订呼南高铁焦济洛平段（济源）土地综合开发实施协议</w:t>
          </w:r>
          <w:r>
            <w:rPr>
              <w:rFonts w:hint="eastAsia"/>
            </w:rPr>
            <w:tab/>
          </w:r>
          <w:r>
            <w:rPr>
              <w:rFonts w:hint="eastAsia"/>
            </w:rPr>
            <w:fldChar w:fldCharType="begin"/>
          </w:r>
          <w:r>
            <w:rPr>
              <w:rFonts w:hint="eastAsia"/>
            </w:rPr>
            <w:instrText xml:space="preserve"> </w:instrText>
          </w:r>
          <w:r>
            <w:instrText xml:space="preserve">PAGEREF _Toc182576441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12A53D73">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"_Toc182576442" </w:instrText>
          </w:r>
          <w:r>
            <w:fldChar w:fldCharType="separate"/>
          </w:r>
          <w:r>
            <w:rPr>
              <w:rStyle w:val="30"/>
              <w:rFonts w:hint="eastAsia" w:ascii="仿宋" w:hAnsi="仿宋" w:cs="Arial"/>
              <w:lang w:bidi="ar"/>
            </w:rPr>
            <w:t>17.</w:t>
          </w:r>
          <w:r>
            <w:rPr>
              <w:rFonts w:hint="eastAsia" w:cstheme="minorBidi"/>
              <w:kern w:val="2"/>
              <w:sz w:val="21"/>
              <w14:ligatures w14:val="standardContextual"/>
            </w:rPr>
            <w:tab/>
          </w:r>
          <w:r>
            <w:rPr>
              <w:rStyle w:val="30"/>
              <w:rFonts w:hint="eastAsia" w:ascii="仿宋" w:hAnsi="仿宋" w:cs="Arial"/>
              <w:shd w:val="clear" w:color="auto" w:fill="FFFFFF"/>
            </w:rPr>
            <w:t>《北京交通发展报告（2023）》</w:t>
          </w:r>
          <w:r>
            <w:rPr>
              <w:rStyle w:val="30"/>
              <w:rFonts w:hint="eastAsia" w:ascii="仿宋" w:hAnsi="仿宋" w:cs="Arial"/>
              <w:shd w:val="clear" w:color="auto" w:fill="FFFFFF"/>
              <w:lang w:bidi="ar"/>
            </w:rPr>
            <w:t>蓝皮书发布</w:t>
          </w:r>
          <w:r>
            <w:rPr>
              <w:rFonts w:hint="eastAsia"/>
            </w:rPr>
            <w:tab/>
          </w:r>
          <w:r>
            <w:rPr>
              <w:rFonts w:hint="eastAsia"/>
            </w:rPr>
            <w:fldChar w:fldCharType="begin"/>
          </w:r>
          <w:r>
            <w:rPr>
              <w:rFonts w:hint="eastAsia"/>
            </w:rPr>
            <w:instrText xml:space="preserve"> </w:instrText>
          </w:r>
          <w:r>
            <w:instrText xml:space="preserve">PAGEREF _Toc182576442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68331973">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"_Toc182576443" </w:instrText>
          </w:r>
          <w:r>
            <w:fldChar w:fldCharType="separate"/>
          </w:r>
          <w:r>
            <w:rPr>
              <w:rStyle w:val="30"/>
              <w:rFonts w:hint="eastAsia" w:ascii="仿宋" w:hAnsi="仿宋" w:cs="Arial"/>
              <w:lang w:bidi="ar"/>
            </w:rPr>
            <w:t>18.</w:t>
          </w:r>
          <w:r>
            <w:rPr>
              <w:rFonts w:hint="eastAsia" w:cstheme="minorBidi"/>
              <w:kern w:val="2"/>
              <w:sz w:val="21"/>
              <w14:ligatures w14:val="standardContextual"/>
            </w:rPr>
            <w:tab/>
          </w:r>
          <w:r>
            <w:rPr>
              <w:rStyle w:val="30"/>
              <w:rFonts w:hint="eastAsia" w:ascii="仿宋" w:hAnsi="仿宋" w:cs="Arial"/>
              <w:shd w:val="clear" w:color="auto" w:fill="FFFFFF"/>
              <w:lang w:bidi="ar"/>
            </w:rPr>
            <w:t>合肥市片区综合开发总体策划方案拟将展开编制</w:t>
          </w:r>
          <w:r>
            <w:rPr>
              <w:rFonts w:hint="eastAsia"/>
            </w:rPr>
            <w:tab/>
          </w:r>
          <w:r>
            <w:rPr>
              <w:rFonts w:hint="eastAsia"/>
            </w:rPr>
            <w:fldChar w:fldCharType="begin"/>
          </w:r>
          <w:r>
            <w:rPr>
              <w:rFonts w:hint="eastAsia"/>
            </w:rPr>
            <w:instrText xml:space="preserve"> </w:instrText>
          </w:r>
          <w:r>
            <w:instrText xml:space="preserve">PAGEREF _Toc182576443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0B644538">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"_Toc182576444" </w:instrText>
          </w:r>
          <w:r>
            <w:fldChar w:fldCharType="separate"/>
          </w:r>
          <w:r>
            <w:rPr>
              <w:rStyle w:val="30"/>
              <w:rFonts w:hint="eastAsia" w:ascii="仿宋" w:hAnsi="仿宋" w:cs="Arial"/>
              <w:lang w:bidi="ar"/>
            </w:rPr>
            <w:t>19.</w:t>
          </w:r>
          <w:r>
            <w:rPr>
              <w:rFonts w:hint="eastAsia" w:cstheme="minorBidi"/>
              <w:kern w:val="2"/>
              <w:sz w:val="21"/>
              <w14:ligatures w14:val="standardContextual"/>
            </w:rPr>
            <w:tab/>
          </w:r>
          <w:r>
            <w:rPr>
              <w:rStyle w:val="30"/>
              <w:rFonts w:hint="eastAsia" w:ascii="仿宋" w:hAnsi="仿宋" w:cs="Arial"/>
              <w:shd w:val="clear" w:color="auto" w:fill="FFFFFF"/>
              <w:lang w:bidi="ar"/>
            </w:rPr>
            <w:t>天津“轨交导向城市建造(塑形)之路线下论坛”成功举办</w:t>
          </w:r>
          <w:r>
            <w:rPr>
              <w:rFonts w:hint="eastAsia"/>
            </w:rPr>
            <w:tab/>
          </w:r>
          <w:r>
            <w:rPr>
              <w:rFonts w:hint="eastAsia"/>
            </w:rPr>
            <w:fldChar w:fldCharType="begin"/>
          </w:r>
          <w:r>
            <w:rPr>
              <w:rFonts w:hint="eastAsia"/>
            </w:rPr>
            <w:instrText xml:space="preserve"> </w:instrText>
          </w:r>
          <w:r>
            <w:instrText xml:space="preserve">PAGEREF _Toc182576444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20C03329">
          <w:pPr>
            <w:pStyle w:val="17"/>
            <w:tabs>
              <w:tab w:val="right" w:leader="dot" w:pos="8296"/>
            </w:tabs>
            <w:rPr>
              <w:rFonts w:hint="eastAsia" w:cstheme="minorBidi"/>
              <w:kern w:val="2"/>
              <w:sz w:val="21"/>
              <w14:ligatures w14:val="standardContextual"/>
            </w:rPr>
          </w:pPr>
          <w:r>
            <w:fldChar w:fldCharType="begin"/>
          </w:r>
          <w:r>
            <w:instrText xml:space="preserve"> HYPERLINK \l "_Toc182576445" </w:instrText>
          </w:r>
          <w:r>
            <w:fldChar w:fldCharType="separate"/>
          </w:r>
          <w:r>
            <w:rPr>
              <w:rStyle w:val="30"/>
              <w:rFonts w:hint="eastAsia" w:ascii="黑体" w:hAnsi="黑体" w:eastAsia="黑体"/>
              <w:kern w:val="44"/>
            </w:rPr>
            <w:t>三、企业动态</w:t>
          </w:r>
          <w:r>
            <w:rPr>
              <w:rFonts w:hint="eastAsia"/>
            </w:rPr>
            <w:tab/>
          </w:r>
          <w:r>
            <w:rPr>
              <w:rFonts w:hint="eastAsia"/>
            </w:rPr>
            <w:fldChar w:fldCharType="begin"/>
          </w:r>
          <w:r>
            <w:rPr>
              <w:rFonts w:hint="eastAsia"/>
            </w:rPr>
            <w:instrText xml:space="preserve"> </w:instrText>
          </w:r>
          <w:r>
            <w:instrText xml:space="preserve">PAGEREF _Toc182576445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0877801E">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"_Toc182576446" </w:instrText>
          </w:r>
          <w:r>
            <w:fldChar w:fldCharType="separate"/>
          </w:r>
          <w:r>
            <w:rPr>
              <w:rStyle w:val="30"/>
              <w:rFonts w:hint="eastAsia" w:ascii="仿宋" w:hAnsi="仿宋"/>
              <w:lang w:bidi="ar"/>
            </w:rPr>
            <w:t>1.</w:t>
          </w:r>
          <w:r>
            <w:rPr>
              <w:rFonts w:hint="eastAsia" w:cstheme="minorBidi"/>
              <w:kern w:val="2"/>
              <w:sz w:val="21"/>
              <w14:ligatures w14:val="standardContextual"/>
            </w:rPr>
            <w:tab/>
          </w:r>
          <w:r>
            <w:rPr>
              <w:rStyle w:val="30"/>
              <w:rFonts w:hint="eastAsia" w:ascii="仿宋" w:hAnsi="仿宋"/>
              <w:shd w:val="clear" w:color="auto" w:fill="FFFFFF"/>
              <w:lang w:bidi="ar"/>
            </w:rPr>
            <w:t>10月TOD土地成交6幅，</w:t>
          </w:r>
          <w:r>
            <w:rPr>
              <w:rStyle w:val="30"/>
              <w:rFonts w:hint="eastAsia" w:ascii="仿宋" w:hAnsi="仿宋"/>
              <w:lang w:bidi="ar"/>
            </w:rPr>
            <w:t>深铁获得机场东地块，合肥轨道获得5幅宅地</w:t>
          </w:r>
          <w:r>
            <w:rPr>
              <w:rFonts w:hint="eastAsia"/>
            </w:rPr>
            <w:tab/>
          </w:r>
          <w:r>
            <w:rPr>
              <w:rFonts w:hint="eastAsia"/>
            </w:rPr>
            <w:fldChar w:fldCharType="begin"/>
          </w:r>
          <w:r>
            <w:rPr>
              <w:rFonts w:hint="eastAsia"/>
            </w:rPr>
            <w:instrText xml:space="preserve"> </w:instrText>
          </w:r>
          <w:r>
            <w:instrText xml:space="preserve">PAGEREF _Toc182576446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6B7AB8AA">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"_Toc182576447" </w:instrText>
          </w:r>
          <w:r>
            <w:fldChar w:fldCharType="separate"/>
          </w:r>
          <w:r>
            <w:rPr>
              <w:rStyle w:val="30"/>
              <w:rFonts w:hint="eastAsia" w:ascii="仿宋" w:hAnsi="仿宋" w:cs="Arial"/>
              <w:lang w:bidi="ar"/>
            </w:rPr>
            <w:t>2.</w:t>
          </w:r>
          <w:r>
            <w:rPr>
              <w:rFonts w:hint="eastAsia" w:cstheme="minorBidi"/>
              <w:kern w:val="2"/>
              <w:sz w:val="21"/>
              <w14:ligatures w14:val="standardContextual"/>
            </w:rPr>
            <w:tab/>
          </w:r>
          <w:r>
            <w:rPr>
              <w:rStyle w:val="30"/>
              <w:rFonts w:hint="eastAsia" w:ascii="仿宋" w:hAnsi="仿宋" w:cs="Arial"/>
              <w:shd w:val="clear" w:color="auto" w:fill="FFFFFF"/>
              <w:lang w:bidi="ar"/>
            </w:rPr>
            <w:t>广东深南铁路公司在深圳揭牌成立</w:t>
          </w:r>
          <w:r>
            <w:rPr>
              <w:rFonts w:hint="eastAsia"/>
            </w:rPr>
            <w:tab/>
          </w:r>
          <w:r>
            <w:rPr>
              <w:rFonts w:hint="eastAsia"/>
            </w:rPr>
            <w:fldChar w:fldCharType="begin"/>
          </w:r>
          <w:r>
            <w:rPr>
              <w:rFonts w:hint="eastAsia"/>
            </w:rPr>
            <w:instrText xml:space="preserve"> </w:instrText>
          </w:r>
          <w:r>
            <w:instrText xml:space="preserve">PAGEREF _Toc182576447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5E0B53A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"_Toc182576448"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天津轨道交通集团与河东区对接推动城市更新重点项目</w:t>
          </w:r>
          <w:r>
            <w:rPr>
              <w:rFonts w:hint="eastAsia"/>
            </w:rPr>
            <w:tab/>
          </w:r>
          <w:r>
            <w:rPr>
              <w:rFonts w:hint="eastAsia"/>
            </w:rPr>
            <w:fldChar w:fldCharType="begin"/>
          </w:r>
          <w:r>
            <w:rPr>
              <w:rFonts w:hint="eastAsia"/>
            </w:rPr>
            <w:instrText xml:space="preserve"> </w:instrText>
          </w:r>
          <w:r>
            <w:instrText xml:space="preserve">PAGEREF _Toc182576448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7396393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"_Toc182576449" </w:instrText>
          </w:r>
          <w:r>
            <w:fldChar w:fldCharType="separate"/>
          </w:r>
          <w:r>
            <w:rPr>
              <w:rStyle w:val="30"/>
              <w:rFonts w:hint="eastAsia" w:ascii="仿宋" w:hAnsi="仿宋" w:cs="Arial"/>
              <w:lang w:bidi="ar"/>
            </w:rPr>
            <w:t>4.</w:t>
          </w:r>
          <w:r>
            <w:rPr>
              <w:rFonts w:hint="eastAsia" w:cstheme="minorBidi"/>
              <w:kern w:val="2"/>
              <w:sz w:val="21"/>
              <w14:ligatures w14:val="standardContextual"/>
            </w:rPr>
            <w:tab/>
          </w:r>
          <w:r>
            <w:rPr>
              <w:rStyle w:val="30"/>
              <w:rFonts w:hint="eastAsia" w:ascii="仿宋" w:hAnsi="仿宋" w:cs="Arial"/>
              <w:shd w:val="clear" w:color="auto" w:fill="FFFFFF"/>
              <w:lang w:bidi="ar"/>
            </w:rPr>
            <w:t>成都公交集团发布公交TOD保障性租赁住房品牌——锦安居</w:t>
          </w:r>
          <w:r>
            <w:rPr>
              <w:rFonts w:hint="eastAsia"/>
            </w:rPr>
            <w:tab/>
          </w:r>
          <w:r>
            <w:rPr>
              <w:rFonts w:hint="eastAsia"/>
            </w:rPr>
            <w:fldChar w:fldCharType="begin"/>
          </w:r>
          <w:r>
            <w:rPr>
              <w:rFonts w:hint="eastAsia"/>
            </w:rPr>
            <w:instrText xml:space="preserve"> </w:instrText>
          </w:r>
          <w:r>
            <w:instrText xml:space="preserve">PAGEREF _Toc182576449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651DC83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"_Toc182576450"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合肥轨道发布方兴湖片区TOD综合开发城市设计招标公告</w:t>
          </w:r>
          <w:r>
            <w:rPr>
              <w:rFonts w:hint="eastAsia"/>
            </w:rPr>
            <w:tab/>
          </w:r>
          <w:r>
            <w:rPr>
              <w:rFonts w:hint="eastAsia"/>
            </w:rPr>
            <w:fldChar w:fldCharType="begin"/>
          </w:r>
          <w:r>
            <w:rPr>
              <w:rFonts w:hint="eastAsia"/>
            </w:rPr>
            <w:instrText xml:space="preserve"> </w:instrText>
          </w:r>
          <w:r>
            <w:instrText xml:space="preserve">PAGEREF _Toc182576450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42980E00">
          <w:pPr>
            <w:pStyle w:val="17"/>
            <w:tabs>
              <w:tab w:val="right" w:leader="dot" w:pos="8296"/>
            </w:tabs>
            <w:rPr>
              <w:rFonts w:hint="eastAsia" w:cstheme="minorBidi"/>
              <w:kern w:val="2"/>
              <w:sz w:val="21"/>
              <w14:ligatures w14:val="standardContextual"/>
            </w:rPr>
          </w:pPr>
          <w:r>
            <w:fldChar w:fldCharType="begin"/>
          </w:r>
          <w:r>
            <w:instrText xml:space="preserve"> HYPERLINK \l "_Toc182576451" </w:instrText>
          </w:r>
          <w:r>
            <w:fldChar w:fldCharType="separate"/>
          </w:r>
          <w:r>
            <w:rPr>
              <w:rStyle w:val="30"/>
              <w:rFonts w:hint="eastAsia" w:ascii="黑体" w:hAnsi="黑体" w:eastAsia="黑体"/>
              <w:kern w:val="44"/>
            </w:rPr>
            <w:t>四、项目动态</w:t>
          </w:r>
          <w:r>
            <w:rPr>
              <w:rFonts w:hint="eastAsia"/>
            </w:rPr>
            <w:tab/>
          </w:r>
          <w:r>
            <w:rPr>
              <w:rFonts w:hint="eastAsia"/>
            </w:rPr>
            <w:fldChar w:fldCharType="begin"/>
          </w:r>
          <w:r>
            <w:rPr>
              <w:rFonts w:hint="eastAsia"/>
            </w:rPr>
            <w:instrText xml:space="preserve"> </w:instrText>
          </w:r>
          <w:r>
            <w:instrText xml:space="preserve">PAGEREF _Toc182576451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5E5DEC2A">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"_Toc182576452" </w:instrText>
          </w:r>
          <w:r>
            <w:fldChar w:fldCharType="separate"/>
          </w:r>
          <w:r>
            <w:rPr>
              <w:rStyle w:val="30"/>
              <w:rFonts w:hint="eastAsia" w:ascii="仿宋" w:hAnsi="仿宋" w:cs="Arial"/>
              <w:lang w:bidi="ar"/>
            </w:rPr>
            <w:t>1.</w:t>
          </w:r>
          <w:r>
            <w:rPr>
              <w:rFonts w:hint="eastAsia" w:cstheme="minorBidi"/>
              <w:kern w:val="2"/>
              <w:sz w:val="21"/>
              <w14:ligatures w14:val="standardContextual"/>
            </w:rPr>
            <w:tab/>
          </w:r>
          <w:r>
            <w:rPr>
              <w:rStyle w:val="30"/>
              <w:rFonts w:hint="eastAsia" w:ascii="仿宋" w:hAnsi="仿宋" w:cs="Arial"/>
              <w:shd w:val="clear" w:color="auto" w:fill="FFFFFF"/>
              <w:lang w:bidi="ar"/>
            </w:rPr>
            <w:t>北京大兴首创光合中心商业正式</w:t>
          </w:r>
          <w:r>
            <w:rPr>
              <w:rStyle w:val="30"/>
              <w:rFonts w:hint="eastAsia" w:ascii="仿宋" w:hAnsi="仿宋" w:cs="Arial"/>
              <w:shd w:val="clear" w:color="auto" w:fill="FFFFFF"/>
            </w:rPr>
            <w:t>签约</w:t>
          </w:r>
          <w:r>
            <w:rPr>
              <w:rStyle w:val="30"/>
              <w:rFonts w:hint="eastAsia" w:ascii="仿宋" w:hAnsi="仿宋" w:cs="Arial"/>
              <w:shd w:val="clear" w:color="auto" w:fill="FFFFFF"/>
              <w:lang w:bidi="ar"/>
            </w:rPr>
            <w:t>落地</w:t>
          </w:r>
          <w:r>
            <w:rPr>
              <w:rFonts w:hint="eastAsia"/>
            </w:rPr>
            <w:tab/>
          </w:r>
          <w:r>
            <w:rPr>
              <w:rFonts w:hint="eastAsia"/>
            </w:rPr>
            <w:fldChar w:fldCharType="begin"/>
          </w:r>
          <w:r>
            <w:rPr>
              <w:rFonts w:hint="eastAsia"/>
            </w:rPr>
            <w:instrText xml:space="preserve"> </w:instrText>
          </w:r>
          <w:r>
            <w:instrText xml:space="preserve">PAGEREF _Toc182576452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543A031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"_Toc182576453" </w:instrText>
          </w:r>
          <w:r>
            <w:fldChar w:fldCharType="separate"/>
          </w:r>
          <w:r>
            <w:rPr>
              <w:rStyle w:val="30"/>
              <w:rFonts w:hint="eastAsia" w:ascii="仿宋" w:hAnsi="仿宋" w:cs="Arial"/>
              <w:lang w:bidi="ar"/>
            </w:rPr>
            <w:t>2.</w:t>
          </w:r>
          <w:r>
            <w:rPr>
              <w:rFonts w:hint="eastAsia" w:cstheme="minorBidi"/>
              <w:kern w:val="2"/>
              <w:sz w:val="21"/>
              <w14:ligatures w14:val="standardContextual"/>
            </w:rPr>
            <w:tab/>
          </w:r>
          <w:r>
            <w:rPr>
              <w:rStyle w:val="30"/>
              <w:rFonts w:hint="eastAsia" w:ascii="仿宋" w:hAnsi="仿宋" w:cs="Arial"/>
              <w:shd w:val="clear" w:color="auto" w:fill="FFFFFF"/>
              <w:lang w:bidi="ar"/>
            </w:rPr>
            <w:t>上海首个双湖TOD商业综合体-中集美兰湖金地广场正式开业</w:t>
          </w:r>
          <w:r>
            <w:rPr>
              <w:rFonts w:hint="eastAsia"/>
            </w:rPr>
            <w:tab/>
          </w:r>
          <w:r>
            <w:rPr>
              <w:rFonts w:hint="eastAsia"/>
            </w:rPr>
            <w:fldChar w:fldCharType="begin"/>
          </w:r>
          <w:r>
            <w:rPr>
              <w:rFonts w:hint="eastAsia"/>
            </w:rPr>
            <w:instrText xml:space="preserve"> </w:instrText>
          </w:r>
          <w:r>
            <w:instrText xml:space="preserve">PAGEREF _Toc182576453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5096530A">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"_Toc182576454"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大湾区首个“PARK+TOD”综合体-深圳坂田万致天地商业综合体正式开业</w:t>
          </w:r>
          <w:r>
            <w:rPr>
              <w:rFonts w:hint="eastAsia"/>
            </w:rPr>
            <w:tab/>
          </w:r>
          <w:r>
            <w:rPr>
              <w:rFonts w:hint="eastAsia"/>
            </w:rPr>
            <w:fldChar w:fldCharType="begin"/>
          </w:r>
          <w:r>
            <w:rPr>
              <w:rFonts w:hint="eastAsia"/>
            </w:rPr>
            <w:instrText xml:space="preserve"> </w:instrText>
          </w:r>
          <w:r>
            <w:instrText xml:space="preserve">PAGEREF _Toc182576454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31FC88D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"_Toc182576455" </w:instrText>
          </w:r>
          <w:r>
            <w:fldChar w:fldCharType="separate"/>
          </w:r>
          <w:r>
            <w:rPr>
              <w:rStyle w:val="30"/>
              <w:rFonts w:hint="eastAsia" w:ascii="仿宋" w:hAnsi="仿宋" w:cs="Arial"/>
              <w:lang w:bidi="ar"/>
            </w:rPr>
            <w:t>4.</w:t>
          </w:r>
          <w:r>
            <w:rPr>
              <w:rFonts w:hint="eastAsia" w:cstheme="minorBidi"/>
              <w:kern w:val="2"/>
              <w:sz w:val="21"/>
              <w14:ligatures w14:val="standardContextual"/>
            </w:rPr>
            <w:tab/>
          </w:r>
          <w:r>
            <w:rPr>
              <w:rStyle w:val="30"/>
              <w:rFonts w:hint="eastAsia" w:ascii="仿宋" w:hAnsi="仿宋" w:cs="Arial"/>
              <w:shd w:val="clear" w:color="auto" w:fill="FFFFFF"/>
              <w:lang w:bidi="ar"/>
            </w:rPr>
            <w:t>杭州湘滨路TOD</w:t>
          </w:r>
          <w:r>
            <w:rPr>
              <w:rStyle w:val="30"/>
              <w:rFonts w:hint="eastAsia" w:ascii="仿宋" w:hAnsi="仿宋" w:cs="Arial"/>
              <w:shd w:val="clear" w:color="auto" w:fill="FFFFFF"/>
            </w:rPr>
            <w:t>产业</w:t>
          </w:r>
          <w:r>
            <w:rPr>
              <w:rStyle w:val="30"/>
              <w:rFonts w:hint="eastAsia" w:ascii="仿宋" w:hAnsi="仿宋" w:cs="Arial"/>
              <w:shd w:val="clear" w:color="auto" w:fill="FFFFFF"/>
              <w:lang w:bidi="ar"/>
            </w:rPr>
            <w:t>综合体开工</w:t>
          </w:r>
          <w:r>
            <w:rPr>
              <w:rFonts w:hint="eastAsia"/>
            </w:rPr>
            <w:tab/>
          </w:r>
          <w:r>
            <w:rPr>
              <w:rFonts w:hint="eastAsia"/>
            </w:rPr>
            <w:fldChar w:fldCharType="begin"/>
          </w:r>
          <w:r>
            <w:rPr>
              <w:rFonts w:hint="eastAsia"/>
            </w:rPr>
            <w:instrText xml:space="preserve"> </w:instrText>
          </w:r>
          <w:r>
            <w:instrText xml:space="preserve">PAGEREF _Toc182576455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401B6525">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"_Toc182576456"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杭州万科杭铁西湖云谷</w:t>
          </w:r>
          <w:r>
            <w:rPr>
              <w:rStyle w:val="30"/>
              <w:rFonts w:hint="eastAsia" w:ascii="仿宋" w:hAnsi="仿宋" w:cs="Arial"/>
              <w:shd w:val="clear" w:color="auto" w:fill="FFFFFF"/>
            </w:rPr>
            <w:t>TOD</w:t>
          </w:r>
          <w:r>
            <w:rPr>
              <w:rStyle w:val="30"/>
              <w:rFonts w:hint="eastAsia" w:ascii="仿宋" w:hAnsi="仿宋" w:cs="Arial"/>
              <w:shd w:val="clear" w:color="auto" w:fill="FFFFFF"/>
              <w:lang w:bidi="ar"/>
            </w:rPr>
            <w:t>上盖项目方案公布</w:t>
          </w:r>
          <w:r>
            <w:rPr>
              <w:rFonts w:hint="eastAsia"/>
            </w:rPr>
            <w:tab/>
          </w:r>
          <w:r>
            <w:rPr>
              <w:rFonts w:hint="eastAsia"/>
            </w:rPr>
            <w:fldChar w:fldCharType="begin"/>
          </w:r>
          <w:r>
            <w:rPr>
              <w:rFonts w:hint="eastAsia"/>
            </w:rPr>
            <w:instrText xml:space="preserve"> </w:instrText>
          </w:r>
          <w:r>
            <w:instrText xml:space="preserve">PAGEREF _Toc182576456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760414A1">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"_Toc182576457" </w:instrText>
          </w:r>
          <w:r>
            <w:fldChar w:fldCharType="separate"/>
          </w:r>
          <w:r>
            <w:rPr>
              <w:rStyle w:val="30"/>
              <w:rFonts w:hint="eastAsia" w:ascii="仿宋" w:hAnsi="仿宋" w:cs="Arial"/>
              <w:lang w:bidi="ar"/>
            </w:rPr>
            <w:t>6.</w:t>
          </w:r>
          <w:r>
            <w:rPr>
              <w:rFonts w:hint="eastAsia" w:cstheme="minorBidi"/>
              <w:kern w:val="2"/>
              <w:sz w:val="21"/>
              <w14:ligatures w14:val="standardContextual"/>
            </w:rPr>
            <w:tab/>
          </w:r>
          <w:r>
            <w:rPr>
              <w:rStyle w:val="30"/>
              <w:rFonts w:hint="eastAsia" w:ascii="仿宋" w:hAnsi="仿宋" w:cs="Arial"/>
              <w:shd w:val="clear" w:color="auto" w:fill="FFFFFF"/>
              <w:lang w:bidi="ar"/>
            </w:rPr>
            <w:t>济南首个轨道交通地下TOD综合体-千佛山站TOD开建</w:t>
          </w:r>
          <w:r>
            <w:rPr>
              <w:rFonts w:hint="eastAsia"/>
            </w:rPr>
            <w:tab/>
          </w:r>
          <w:r>
            <w:rPr>
              <w:rFonts w:hint="eastAsia"/>
            </w:rPr>
            <w:fldChar w:fldCharType="begin"/>
          </w:r>
          <w:r>
            <w:rPr>
              <w:rFonts w:hint="eastAsia"/>
            </w:rPr>
            <w:instrText xml:space="preserve"> </w:instrText>
          </w:r>
          <w:r>
            <w:instrText xml:space="preserve">PAGEREF _Toc182576457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15985CA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"_Toc182576458" </w:instrText>
          </w:r>
          <w:r>
            <w:fldChar w:fldCharType="separate"/>
          </w:r>
          <w:r>
            <w:rPr>
              <w:rStyle w:val="30"/>
              <w:rFonts w:hint="eastAsia" w:ascii="仿宋" w:hAnsi="仿宋" w:cs="Arial"/>
              <w:lang w:bidi="ar"/>
            </w:rPr>
            <w:t>7.</w:t>
          </w:r>
          <w:r>
            <w:rPr>
              <w:rFonts w:hint="eastAsia" w:cstheme="minorBidi"/>
              <w:kern w:val="2"/>
              <w:sz w:val="21"/>
              <w14:ligatures w14:val="standardContextual"/>
            </w:rPr>
            <w:tab/>
          </w:r>
          <w:r>
            <w:rPr>
              <w:rStyle w:val="30"/>
              <w:rFonts w:hint="eastAsia" w:ascii="仿宋" w:hAnsi="仿宋" w:cs="Arial"/>
              <w:shd w:val="clear" w:color="auto" w:fill="FFFFFF"/>
              <w:lang w:bidi="ar"/>
            </w:rPr>
            <w:t>惠阳站综合交通枢纽项目（一期工程）开工</w:t>
          </w:r>
          <w:r>
            <w:rPr>
              <w:rFonts w:hint="eastAsia"/>
            </w:rPr>
            <w:tab/>
          </w:r>
          <w:r>
            <w:rPr>
              <w:rFonts w:hint="eastAsia"/>
            </w:rPr>
            <w:fldChar w:fldCharType="begin"/>
          </w:r>
          <w:r>
            <w:rPr>
              <w:rFonts w:hint="eastAsia"/>
            </w:rPr>
            <w:instrText xml:space="preserve"> </w:instrText>
          </w:r>
          <w:r>
            <w:instrText xml:space="preserve">PAGEREF _Toc182576458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112819D0">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"_Toc182576459" </w:instrText>
          </w:r>
          <w:r>
            <w:fldChar w:fldCharType="separate"/>
          </w:r>
          <w:r>
            <w:rPr>
              <w:rStyle w:val="30"/>
              <w:rFonts w:hint="eastAsia" w:ascii="仿宋" w:hAnsi="仿宋" w:cs="微软雅黑"/>
            </w:rPr>
            <w:t>8.</w:t>
          </w:r>
          <w:r>
            <w:rPr>
              <w:rFonts w:hint="eastAsia" w:cstheme="minorBidi"/>
              <w:kern w:val="2"/>
              <w:sz w:val="21"/>
              <w14:ligatures w14:val="standardContextual"/>
            </w:rPr>
            <w:tab/>
          </w:r>
          <w:r>
            <w:rPr>
              <w:rStyle w:val="30"/>
              <w:rFonts w:hint="eastAsia" w:ascii="仿宋" w:hAnsi="仿宋" w:cs="Arial"/>
              <w:shd w:val="clear" w:color="auto" w:fill="FFFFFF"/>
              <w:lang w:bidi="ar"/>
            </w:rPr>
            <w:t>西安首个“地铁+保租房+TOD商业”</w:t>
          </w:r>
          <w:r>
            <w:rPr>
              <w:rStyle w:val="30"/>
              <w:rFonts w:hint="eastAsia" w:ascii="仿宋" w:hAnsi="仿宋" w:cs="Arial"/>
              <w:shd w:val="clear" w:color="auto" w:fill="FFFFFF"/>
            </w:rPr>
            <w:t>示范性</w:t>
          </w:r>
          <w:r>
            <w:rPr>
              <w:rStyle w:val="30"/>
              <w:rFonts w:hint="eastAsia" w:ascii="仿宋" w:hAnsi="仿宋" w:cs="Arial"/>
              <w:shd w:val="clear" w:color="auto" w:fill="FFFFFF"/>
              <w:lang w:bidi="ar"/>
            </w:rPr>
            <w:t>项目建成投用</w:t>
          </w:r>
          <w:r>
            <w:rPr>
              <w:rFonts w:hint="eastAsia"/>
            </w:rPr>
            <w:tab/>
          </w:r>
          <w:r>
            <w:rPr>
              <w:rFonts w:hint="eastAsia"/>
            </w:rPr>
            <w:fldChar w:fldCharType="begin"/>
          </w:r>
          <w:r>
            <w:rPr>
              <w:rFonts w:hint="eastAsia"/>
            </w:rPr>
            <w:instrText xml:space="preserve"> </w:instrText>
          </w:r>
          <w:r>
            <w:instrText xml:space="preserve">PAGEREF _Toc182576459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4A73068C">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"_Toc182576460" </w:instrText>
          </w:r>
          <w:r>
            <w:fldChar w:fldCharType="separate"/>
          </w:r>
          <w:r>
            <w:rPr>
              <w:rStyle w:val="30"/>
              <w:rFonts w:hint="eastAsia" w:ascii="仿宋" w:hAnsi="仿宋" w:cs="Arial"/>
              <w:lang w:bidi="ar"/>
            </w:rPr>
            <w:t>9.</w:t>
          </w:r>
          <w:r>
            <w:rPr>
              <w:rFonts w:hint="eastAsia" w:cstheme="minorBidi"/>
              <w:kern w:val="2"/>
              <w:sz w:val="21"/>
              <w14:ligatures w14:val="standardContextual"/>
            </w:rPr>
            <w:tab/>
          </w:r>
          <w:r>
            <w:rPr>
              <w:rStyle w:val="30"/>
              <w:rFonts w:hint="eastAsia" w:ascii="仿宋" w:hAnsi="仿宋" w:cs="Arial"/>
              <w:shd w:val="clear" w:color="auto" w:fill="FFFFFF"/>
              <w:lang w:bidi="ar"/>
            </w:rPr>
            <w:t>中骏世界城大型TOD</w:t>
          </w:r>
          <w:r>
            <w:rPr>
              <w:rStyle w:val="30"/>
              <w:rFonts w:hint="eastAsia" w:ascii="仿宋" w:hAnsi="仿宋" w:cs="Arial"/>
              <w:shd w:val="clear" w:color="auto" w:fill="FFFFFF"/>
            </w:rPr>
            <w:t>商业</w:t>
          </w:r>
          <w:r>
            <w:rPr>
              <w:rStyle w:val="30"/>
              <w:rFonts w:hint="eastAsia" w:ascii="仿宋" w:hAnsi="仿宋" w:cs="Arial"/>
              <w:shd w:val="clear" w:color="auto" w:fill="FFFFFF"/>
              <w:lang w:bidi="ar"/>
            </w:rPr>
            <w:t>综合体开业</w:t>
          </w:r>
          <w:r>
            <w:rPr>
              <w:rFonts w:hint="eastAsia"/>
            </w:rPr>
            <w:tab/>
          </w:r>
          <w:r>
            <w:rPr>
              <w:rFonts w:hint="eastAsia"/>
            </w:rPr>
            <w:fldChar w:fldCharType="begin"/>
          </w:r>
          <w:r>
            <w:rPr>
              <w:rFonts w:hint="eastAsia"/>
            </w:rPr>
            <w:instrText xml:space="preserve"> </w:instrText>
          </w:r>
          <w:r>
            <w:instrText xml:space="preserve">PAGEREF _Toc182576460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39CEF55D">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"_Toc182576461" </w:instrText>
          </w:r>
          <w:r>
            <w:fldChar w:fldCharType="separate"/>
          </w:r>
          <w:r>
            <w:rPr>
              <w:rStyle w:val="30"/>
              <w:rFonts w:hint="eastAsia" w:ascii="仿宋" w:hAnsi="仿宋" w:cs="Arial"/>
              <w:lang w:bidi="ar"/>
            </w:rPr>
            <w:t>10.</w:t>
          </w:r>
          <w:r>
            <w:rPr>
              <w:rFonts w:hint="eastAsia" w:cstheme="minorBidi"/>
              <w:kern w:val="2"/>
              <w:sz w:val="21"/>
              <w14:ligatures w14:val="standardContextual"/>
            </w:rPr>
            <w:tab/>
          </w:r>
          <w:r>
            <w:rPr>
              <w:rStyle w:val="30"/>
              <w:rFonts w:hint="eastAsia" w:ascii="仿宋" w:hAnsi="仿宋" w:cs="Arial"/>
              <w:shd w:val="clear" w:color="auto" w:fill="FFFFFF"/>
              <w:lang w:bidi="ar"/>
            </w:rPr>
            <w:t>青岛TOD一号工程荣获国际设计大奖</w:t>
          </w:r>
          <w:r>
            <w:rPr>
              <w:rFonts w:hint="eastAsia"/>
            </w:rPr>
            <w:tab/>
          </w:r>
          <w:r>
            <w:rPr>
              <w:rFonts w:hint="eastAsia"/>
            </w:rPr>
            <w:fldChar w:fldCharType="begin"/>
          </w:r>
          <w:r>
            <w:rPr>
              <w:rFonts w:hint="eastAsia"/>
            </w:rPr>
            <w:instrText xml:space="preserve"> </w:instrText>
          </w:r>
          <w:r>
            <w:instrText xml:space="preserve">PAGEREF _Toc182576461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53A7B5B8">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"_Toc182576462" </w:instrText>
          </w:r>
          <w:r>
            <w:fldChar w:fldCharType="separate"/>
          </w:r>
          <w:r>
            <w:rPr>
              <w:rStyle w:val="30"/>
              <w:rFonts w:hint="eastAsia" w:ascii="仿宋" w:hAnsi="仿宋" w:cs="Arial"/>
              <w:lang w:bidi="ar"/>
            </w:rPr>
            <w:t>11.</w:t>
          </w:r>
          <w:r>
            <w:rPr>
              <w:rFonts w:hint="eastAsia" w:cstheme="minorBidi"/>
              <w:kern w:val="2"/>
              <w:sz w:val="21"/>
              <w14:ligatures w14:val="standardContextual"/>
            </w:rPr>
            <w:tab/>
          </w:r>
          <w:r>
            <w:rPr>
              <w:rStyle w:val="30"/>
              <w:rFonts w:hint="eastAsia" w:ascii="仿宋" w:hAnsi="仿宋" w:cs="Arial"/>
              <w:shd w:val="clear" w:color="auto" w:fill="FFFFFF"/>
              <w:lang w:bidi="ar"/>
            </w:rPr>
            <w:t>天津首个地铁结建附属用房</w:t>
          </w:r>
          <w:r>
            <w:rPr>
              <w:rStyle w:val="30"/>
              <w:rFonts w:hint="eastAsia" w:ascii="仿宋" w:hAnsi="仿宋" w:cs="Arial"/>
              <w:shd w:val="clear" w:color="auto" w:fill="FFFFFF"/>
            </w:rPr>
            <w:t>项目</w:t>
          </w:r>
          <w:r>
            <w:rPr>
              <w:rStyle w:val="30"/>
              <w:rFonts w:hint="eastAsia" w:ascii="仿宋" w:hAnsi="仿宋" w:cs="Arial"/>
              <w:shd w:val="clear" w:color="auto" w:fill="FFFFFF"/>
              <w:lang w:bidi="ar"/>
            </w:rPr>
            <w:t>取得不动产权证书</w:t>
          </w:r>
          <w:r>
            <w:rPr>
              <w:rFonts w:hint="eastAsia"/>
            </w:rPr>
            <w:tab/>
          </w:r>
          <w:r>
            <w:rPr>
              <w:rFonts w:hint="eastAsia"/>
            </w:rPr>
            <w:fldChar w:fldCharType="begin"/>
          </w:r>
          <w:r>
            <w:rPr>
              <w:rFonts w:hint="eastAsia"/>
            </w:rPr>
            <w:instrText xml:space="preserve"> </w:instrText>
          </w:r>
          <w:r>
            <w:instrText xml:space="preserve">PAGEREF _Toc182576462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63F331E0">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"_Toc182576463" </w:instrText>
          </w:r>
          <w:r>
            <w:fldChar w:fldCharType="separate"/>
          </w:r>
          <w:r>
            <w:rPr>
              <w:rStyle w:val="30"/>
              <w:rFonts w:hint="eastAsia" w:ascii="仿宋" w:hAnsi="仿宋" w:cs="Arial"/>
              <w:lang w:bidi="ar"/>
            </w:rPr>
            <w:t>12.</w:t>
          </w:r>
          <w:r>
            <w:rPr>
              <w:rFonts w:hint="eastAsia" w:cstheme="minorBidi"/>
              <w:kern w:val="2"/>
              <w:sz w:val="21"/>
              <w14:ligatures w14:val="standardContextual"/>
            </w:rPr>
            <w:tab/>
          </w:r>
          <w:r>
            <w:rPr>
              <w:rStyle w:val="30"/>
              <w:rFonts w:hint="eastAsia" w:ascii="仿宋" w:hAnsi="仿宋" w:cs="Arial"/>
              <w:shd w:val="clear" w:color="auto" w:fill="FFFFFF"/>
              <w:lang w:bidi="ar"/>
            </w:rPr>
            <w:t>东莞北部片区最大商业</w:t>
          </w:r>
          <w:r>
            <w:rPr>
              <w:rStyle w:val="30"/>
              <w:rFonts w:hint="eastAsia" w:ascii="仿宋" w:hAnsi="仿宋" w:cs="Arial"/>
              <w:shd w:val="clear" w:color="auto" w:fill="FFFFFF"/>
            </w:rPr>
            <w:t>综合体</w:t>
          </w:r>
          <w:r>
            <w:rPr>
              <w:rStyle w:val="30"/>
              <w:rFonts w:hint="eastAsia" w:ascii="仿宋" w:hAnsi="仿宋" w:cs="Arial"/>
              <w:shd w:val="clear" w:color="auto" w:fill="FFFFFF"/>
              <w:lang w:bidi="ar"/>
            </w:rPr>
            <w:t>-旗云广场招商中心入市</w:t>
          </w:r>
          <w:r>
            <w:rPr>
              <w:rFonts w:hint="eastAsia"/>
            </w:rPr>
            <w:tab/>
          </w:r>
          <w:r>
            <w:rPr>
              <w:rFonts w:hint="eastAsia"/>
            </w:rPr>
            <w:fldChar w:fldCharType="begin"/>
          </w:r>
          <w:r>
            <w:rPr>
              <w:rFonts w:hint="eastAsia"/>
            </w:rPr>
            <w:instrText xml:space="preserve"> </w:instrText>
          </w:r>
          <w:r>
            <w:instrText xml:space="preserve">PAGEREF _Toc182576463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03CD5D02">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"_Toc182576464" </w:instrText>
          </w:r>
          <w:r>
            <w:fldChar w:fldCharType="separate"/>
          </w:r>
          <w:r>
            <w:rPr>
              <w:rStyle w:val="30"/>
              <w:rFonts w:hint="eastAsia" w:ascii="仿宋" w:hAnsi="仿宋" w:cs="Arial"/>
              <w:lang w:bidi="ar"/>
            </w:rPr>
            <w:t>13.</w:t>
          </w:r>
          <w:r>
            <w:rPr>
              <w:rFonts w:hint="eastAsia" w:cstheme="minorBidi"/>
              <w:kern w:val="2"/>
              <w:sz w:val="21"/>
              <w14:ligatures w14:val="standardContextual"/>
            </w:rPr>
            <w:tab/>
          </w:r>
          <w:r>
            <w:rPr>
              <w:rStyle w:val="30"/>
              <w:rFonts w:hint="eastAsia" w:ascii="仿宋" w:hAnsi="仿宋" w:cs="Arial"/>
              <w:shd w:val="clear" w:color="auto" w:fill="FFFFFF"/>
              <w:lang w:bidi="ar"/>
            </w:rPr>
            <w:t>成都首个TOD未来社区生活中心亮相</w:t>
          </w:r>
          <w:r>
            <w:rPr>
              <w:rFonts w:hint="eastAsia"/>
            </w:rPr>
            <w:tab/>
          </w:r>
          <w:r>
            <w:rPr>
              <w:rFonts w:hint="eastAsia"/>
            </w:rPr>
            <w:fldChar w:fldCharType="begin"/>
          </w:r>
          <w:r>
            <w:rPr>
              <w:rFonts w:hint="eastAsia"/>
            </w:rPr>
            <w:instrText xml:space="preserve"> </w:instrText>
          </w:r>
          <w:r>
            <w:instrText xml:space="preserve">PAGEREF _Toc182576464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7875C826">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"_Toc182576465" </w:instrText>
          </w:r>
          <w:r>
            <w:fldChar w:fldCharType="separate"/>
          </w:r>
          <w:r>
            <w:rPr>
              <w:rStyle w:val="30"/>
              <w:rFonts w:hint="eastAsia" w:ascii="仿宋" w:hAnsi="仿宋" w:cs="Arial"/>
              <w:lang w:bidi="ar"/>
            </w:rPr>
            <w:t>14.</w:t>
          </w:r>
          <w:r>
            <w:rPr>
              <w:rFonts w:hint="eastAsia" w:cstheme="minorBidi"/>
              <w:kern w:val="2"/>
              <w:sz w:val="21"/>
              <w14:ligatures w14:val="standardContextual"/>
            </w:rPr>
            <w:tab/>
          </w:r>
          <w:r>
            <w:rPr>
              <w:rStyle w:val="30"/>
              <w:rFonts w:hint="eastAsia" w:ascii="仿宋" w:hAnsi="仿宋" w:cs="Arial"/>
              <w:shd w:val="clear" w:color="auto" w:fill="FFFFFF"/>
              <w:lang w:bidi="ar"/>
            </w:rPr>
            <w:t>西安首例陆空TOD综合体-西安环贸中心招商推介会举行</w:t>
          </w:r>
          <w:r>
            <w:rPr>
              <w:rFonts w:hint="eastAsia"/>
            </w:rPr>
            <w:tab/>
          </w:r>
          <w:r>
            <w:rPr>
              <w:rFonts w:hint="eastAsia"/>
            </w:rPr>
            <w:fldChar w:fldCharType="begin"/>
          </w:r>
          <w:r>
            <w:rPr>
              <w:rFonts w:hint="eastAsia"/>
            </w:rPr>
            <w:instrText xml:space="preserve"> </w:instrText>
          </w:r>
          <w:r>
            <w:instrText xml:space="preserve">PAGEREF _Toc182576465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598C635F">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"_Toc182576466" </w:instrText>
          </w:r>
          <w:r>
            <w:fldChar w:fldCharType="separate"/>
          </w:r>
          <w:r>
            <w:rPr>
              <w:rStyle w:val="30"/>
              <w:rFonts w:hint="eastAsia" w:ascii="仿宋" w:hAnsi="仿宋" w:cs="Arial"/>
              <w:lang w:bidi="ar"/>
            </w:rPr>
            <w:t>15.</w:t>
          </w:r>
          <w:r>
            <w:rPr>
              <w:rFonts w:hint="eastAsia" w:cstheme="minorBidi"/>
              <w:kern w:val="2"/>
              <w:sz w:val="21"/>
              <w14:ligatures w14:val="standardContextual"/>
            </w:rPr>
            <w:tab/>
          </w:r>
          <w:r>
            <w:rPr>
              <w:rStyle w:val="30"/>
              <w:rFonts w:hint="eastAsia" w:ascii="仿宋" w:hAnsi="仿宋" w:cs="Arial"/>
              <w:shd w:val="clear" w:color="auto" w:fill="FFFFFF"/>
              <w:lang w:bidi="ar"/>
            </w:rPr>
            <w:t>宁波甬江TOD</w:t>
          </w:r>
          <w:r>
            <w:rPr>
              <w:rStyle w:val="30"/>
              <w:rFonts w:hint="eastAsia" w:ascii="仿宋" w:hAnsi="仿宋" w:cs="Arial"/>
              <w:shd w:val="clear" w:color="auto" w:fill="FFFFFF"/>
            </w:rPr>
            <w:t>体育公园</w:t>
          </w:r>
          <w:r>
            <w:rPr>
              <w:rStyle w:val="30"/>
              <w:rFonts w:hint="eastAsia" w:ascii="仿宋" w:hAnsi="仿宋" w:cs="Arial"/>
              <w:shd w:val="clear" w:color="auto" w:fill="FFFFFF"/>
              <w:lang w:bidi="ar"/>
            </w:rPr>
            <w:t>二期网球等项目迎来试运营</w:t>
          </w:r>
          <w:r>
            <w:rPr>
              <w:rFonts w:hint="eastAsia"/>
            </w:rPr>
            <w:tab/>
          </w:r>
          <w:r>
            <w:rPr>
              <w:rFonts w:hint="eastAsia"/>
            </w:rPr>
            <w:fldChar w:fldCharType="begin"/>
          </w:r>
          <w:r>
            <w:rPr>
              <w:rFonts w:hint="eastAsia"/>
            </w:rPr>
            <w:instrText xml:space="preserve"> </w:instrText>
          </w:r>
          <w:r>
            <w:instrText xml:space="preserve">PAGEREF _Toc182576466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79CD203B">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"_Toc182576467" </w:instrText>
          </w:r>
          <w:r>
            <w:fldChar w:fldCharType="separate"/>
          </w:r>
          <w:r>
            <w:rPr>
              <w:rStyle w:val="30"/>
              <w:rFonts w:hint="eastAsia" w:ascii="仿宋" w:hAnsi="仿宋" w:cs="Arial"/>
              <w:lang w:bidi="ar"/>
            </w:rPr>
            <w:t>16.</w:t>
          </w:r>
          <w:r>
            <w:rPr>
              <w:rFonts w:hint="eastAsia" w:cstheme="minorBidi"/>
              <w:kern w:val="2"/>
              <w:sz w:val="21"/>
              <w14:ligatures w14:val="standardContextual"/>
            </w:rPr>
            <w:tab/>
          </w:r>
          <w:r>
            <w:rPr>
              <w:rStyle w:val="30"/>
              <w:rFonts w:hint="eastAsia" w:ascii="仿宋" w:hAnsi="仿宋" w:cs="Arial"/>
              <w:shd w:val="clear" w:color="auto" w:fill="FFFFFF"/>
              <w:lang w:bidi="ar"/>
            </w:rPr>
            <w:t>重庆首个TOD保障性租赁住房-海峡路项目获批</w:t>
          </w:r>
          <w:r>
            <w:rPr>
              <w:rFonts w:hint="eastAsia"/>
            </w:rPr>
            <w:tab/>
          </w:r>
          <w:r>
            <w:rPr>
              <w:rFonts w:hint="eastAsia"/>
            </w:rPr>
            <w:fldChar w:fldCharType="begin"/>
          </w:r>
          <w:r>
            <w:rPr>
              <w:rFonts w:hint="eastAsia"/>
            </w:rPr>
            <w:instrText xml:space="preserve"> </w:instrText>
          </w:r>
          <w:r>
            <w:instrText xml:space="preserve">PAGEREF _Toc182576467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48295E7C">
          <w:pPr>
            <w:ind w:firstLine="482"/>
            <w:rPr>
              <w:rFonts w:hint="eastAsia" w:ascii="仿宋" w:hAnsi="仿宋"/>
            </w:rPr>
            <w:sectPr>
              <w:headerReference r:id="rId11" w:type="default"/>
              <w:pgSz w:w="11906" w:h="16838"/>
              <w:pgMar w:top="1440" w:right="1800" w:bottom="1440" w:left="1800" w:header="1474" w:footer="964" w:gutter="0"/>
              <w:pgNumType w:start="1"/>
              <w:cols w:space="425" w:num="1"/>
              <w:docGrid w:type="lines" w:linePitch="326" w:charSpace="0"/>
            </w:sectPr>
          </w:pPr>
          <w:r>
            <w:rPr>
              <w:rFonts w:ascii="仿宋" w:hAnsi="仿宋"/>
              <w:b/>
              <w:bCs/>
              <w:lang w:val="zh-CN"/>
            </w:rPr>
            <w:fldChar w:fldCharType="end"/>
          </w:r>
        </w:p>
      </w:sdtContent>
    </w:sdt>
    <w:p w14:paraId="033B981B">
      <w:pPr>
        <w:spacing w:before="163" w:beforeLines="50" w:after="163" w:afterLines="50"/>
        <w:ind w:firstLine="480"/>
        <w:rPr>
          <w:rFonts w:hint="eastAsia" w:ascii="仿宋" w:hAnsi="仿宋"/>
          <w:szCs w:val="36"/>
        </w:rPr>
      </w:pPr>
      <w:r>
        <w:rPr>
          <w:rFonts w:hint="eastAsia" w:ascii="仿宋" w:hAnsi="仿宋"/>
          <w:szCs w:val="36"/>
        </w:rPr>
        <w:t>《中国城市轨道交通</w:t>
      </w:r>
      <w:r>
        <w:rPr>
          <w:rFonts w:ascii="仿宋" w:hAnsi="仿宋"/>
          <w:szCs w:val="36"/>
        </w:rPr>
        <w:t>TOD监测月报》是由上海易居房地产研究院与中国国土经济学会国土交通综合规划与开发（TOD）专业委员会共同研发，旨在以动态的眼光、全面的视角跟踪全国及各城市TOD政策及行业动向，地铁公司和典型房企的TOD土地成交和项目动态，进而了解并研判行业发展的新政策、新动态和新方向。</w:t>
      </w:r>
    </w:p>
    <w:p w14:paraId="20470825">
      <w:pPr>
        <w:pStyle w:val="2"/>
        <w:keepLines/>
        <w:widowControl w:val="0"/>
        <w:spacing w:before="163" w:after="163"/>
        <w:ind w:firstLine="562"/>
        <w:jc w:val="center"/>
        <w:rPr>
          <w:rFonts w:hint="eastAsia" w:ascii="仿宋" w:hAnsi="仿宋" w:cs="Times New Roman"/>
          <w:color w:val="5B9BD5" w:themeColor="accent5"/>
          <w:kern w:val="44"/>
          <w:sz w:val="28"/>
          <w14:textFill>
            <w14:solidFill>
              <w14:schemeClr w14:val="accent5"/>
            </w14:solidFill>
          </w14:textFill>
        </w:rPr>
      </w:pPr>
      <w:bookmarkStart w:id="4" w:name="_Toc166095658"/>
      <w:bookmarkStart w:id="5" w:name="_Toc182576413"/>
      <w:bookmarkStart w:id="6" w:name="_Toc166169573"/>
      <w:r>
        <w:rPr>
          <w:rFonts w:ascii="仿宋" w:hAnsi="仿宋"/>
          <w:b w:val="0"/>
          <w:bCs w:val="0"/>
        </w:rPr>
        <mc:AlternateContent>
          <mc:Choice Requires="wps">
            <w:drawing>
              <wp:anchor distT="118745" distB="118745" distL="114300" distR="114300" simplePos="0" relativeHeight="251665408" behindDoc="0" locked="0" layoutInCell="0" allowOverlap="1">
                <wp:simplePos x="0" y="0"/>
                <wp:positionH relativeFrom="margin">
                  <wp:posOffset>-95250</wp:posOffset>
                </wp:positionH>
                <wp:positionV relativeFrom="page">
                  <wp:posOffset>3270250</wp:posOffset>
                </wp:positionV>
                <wp:extent cx="5535295" cy="6323330"/>
                <wp:effectExtent l="0" t="0" r="8255" b="127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35295" cy="6323330"/>
                        </a:xfrm>
                        <a:prstGeom prst="rect">
                          <a:avLst/>
                        </a:prstGeom>
                        <a:solidFill>
                          <a:schemeClr val="accent1">
                            <a:lumMod val="20000"/>
                            <a:lumOff val="80000"/>
                          </a:schemeClr>
                        </a:solidFill>
                      </wps:spPr>
                      <wps:txbx>
                        <w:txbxContent>
                          <w:p w14:paraId="3EDCC80B">
                            <w:pPr>
                              <w:pStyle w:val="32"/>
                              <w:numPr>
                                <w:ilvl w:val="0"/>
                                <w:numId w:val="1"/>
                              </w:numPr>
                              <w:ind w:left="0" w:firstLine="480"/>
                              <w:jc w:val="both"/>
                              <w:rPr>
                                <w:rFonts w:hint="eastAsia" w:ascii="仿宋" w:hAnsi="仿宋"/>
                                <w:szCs w:val="28"/>
                              </w:rPr>
                            </w:pPr>
                            <w:r>
                              <w:rPr>
                                <w:rFonts w:hint="eastAsia" w:ascii="仿宋" w:hAnsi="仿宋"/>
                                <w:szCs w:val="28"/>
                              </w:rPr>
                              <w:t>政策动态方面，《城市公共交通条例》公布，明确对城市公共交通基础设施用地可以按照国家有关规定实施综合开发，同时《南京市轨道交通条例》首次修订，增加了综合开发的内容，反映了城市交通立法不断适应城市发展新需求。《城市轨道交通场站及周边土地综合开发评价》（征求意见稿）团体标准公开征求意见</w:t>
                            </w:r>
                            <w:r>
                              <w:rPr>
                                <w:rFonts w:ascii="仿宋" w:hAnsi="仿宋"/>
                                <w:bCs/>
                                <w:szCs w:val="28"/>
                              </w:rPr>
                              <w:t>，</w:t>
                            </w:r>
                            <w:r>
                              <w:rPr>
                                <w:rFonts w:hint="eastAsia" w:ascii="仿宋" w:hAnsi="仿宋"/>
                                <w:bCs/>
                                <w:szCs w:val="28"/>
                              </w:rPr>
                              <w:t>以及</w:t>
                            </w:r>
                            <w:r>
                              <w:rPr>
                                <w:rFonts w:ascii="仿宋" w:hAnsi="仿宋"/>
                                <w:bCs/>
                                <w:szCs w:val="28"/>
                              </w:rPr>
                              <w:t>湖南省地方标准《城市公交场站建设规范》</w:t>
                            </w:r>
                            <w:r>
                              <w:rPr>
                                <w:rFonts w:hint="eastAsia" w:ascii="仿宋" w:hAnsi="仿宋"/>
                                <w:bCs/>
                                <w:szCs w:val="28"/>
                              </w:rPr>
                              <w:t>的</w:t>
                            </w:r>
                            <w:r>
                              <w:rPr>
                                <w:rFonts w:ascii="仿宋" w:hAnsi="仿宋"/>
                                <w:bCs/>
                                <w:szCs w:val="28"/>
                              </w:rPr>
                              <w:t>发布</w:t>
                            </w:r>
                            <w:r>
                              <w:rPr>
                                <w:rFonts w:hint="eastAsia" w:ascii="仿宋" w:hAnsi="仿宋"/>
                                <w:bCs/>
                                <w:szCs w:val="28"/>
                              </w:rPr>
                              <w:t>，都显示出行业和地方都在积极推动城市公交场站综合开发规范化发展。</w:t>
                            </w:r>
                          </w:p>
                          <w:p w14:paraId="4910903C">
                            <w:pPr>
                              <w:pStyle w:val="32"/>
                              <w:numPr>
                                <w:ilvl w:val="0"/>
                                <w:numId w:val="1"/>
                              </w:numPr>
                              <w:ind w:left="0" w:firstLine="480"/>
                              <w:jc w:val="both"/>
                              <w:rPr>
                                <w:rFonts w:ascii="仿宋" w:hAnsi="仿宋"/>
                                <w:szCs w:val="28"/>
                              </w:rPr>
                            </w:pPr>
                            <w:r>
                              <w:rPr>
                                <w:rFonts w:hint="eastAsia" w:ascii="仿宋" w:hAnsi="仿宋"/>
                                <w:szCs w:val="28"/>
                              </w:rPr>
                              <w:t>行业动态方面，我国交通强国指数提升至全球第六位，彰显了我国在交通基础设施建设方面的巨大成就。2024中国城市轨道交通TOD论坛的举办，以及《中国城轨TOD指数报告（2024）》的发布，进一步凸显了“轨道+”模式在推动城市发展中的核心作用，尤其是都市圈跨城轨交联系逐年加强，预示着我国城市轨道交通未来发展的新方向。</w:t>
                            </w:r>
                          </w:p>
                          <w:p w14:paraId="5813B55A">
                            <w:pPr>
                              <w:pStyle w:val="32"/>
                              <w:numPr>
                                <w:ilvl w:val="0"/>
                                <w:numId w:val="1"/>
                              </w:numPr>
                              <w:ind w:left="0" w:firstLine="480"/>
                              <w:jc w:val="both"/>
                              <w:rPr>
                                <w:rFonts w:hint="eastAsia" w:ascii="仿宋" w:hAnsi="仿宋"/>
                                <w:szCs w:val="28"/>
                              </w:rPr>
                            </w:pPr>
                            <w:r>
                              <w:rPr>
                                <w:rFonts w:hint="eastAsia" w:ascii="仿宋" w:hAnsi="仿宋"/>
                                <w:szCs w:val="28"/>
                              </w:rPr>
                              <w:t>企业动态方面，</w:t>
                            </w:r>
                            <w:r>
                              <w:rPr>
                                <w:rFonts w:hint="eastAsia" w:ascii="仿宋" w:hAnsi="仿宋"/>
                              </w:rPr>
                              <w:t>深圳地铁67亿元竞得深圳机场东地块，合肥轨道57亿元竞得5幅住宅地块，使得10月份TOD成交总用地面积达到约45万平方米，总成交价格达到124亿元，显示出在房地产政策频出的背景下，地铁公司投资TOD项目步伐加快。此外，成都公交集团还发布了公交TOD保障性租赁住房品牌——锦安居，凸显了企业</w:t>
                            </w:r>
                            <w:r>
                              <w:rPr>
                                <w:rFonts w:ascii="仿宋" w:hAnsi="仿宋"/>
                                <w:szCs w:val="28"/>
                              </w:rPr>
                              <w:t>在推动TOD项目发展和提升城市居住品质方面的积极作为。</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方面，一系列特色亮点项目推进，展示了TOD模式在中国城市发展中的多样化和创新性。例如大湾区首个“PARK+TOD”综合体-深圳坂田万致天地商业综合体正式开业，济南首个轨道交通地下TOD综合体千佛山站TOD开建，西安首个“地铁+保租房+TOD商业”示范性项目建成投用等。</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57.5pt;height:497.9pt;width:435.85pt;mso-position-horizontal-relative:margin;mso-position-vertical-relative:page;mso-wrap-distance-bottom:9.35pt;mso-wrap-distance-left:9pt;mso-wrap-distance-right:9pt;mso-wrap-distance-top:9.35pt;z-index:251665408;mso-width-relative:page;mso-height-relative:page;" fillcolor="#DAE3F3 [660]" filled="t" stroked="f" coordsize="21600,21600" o:allowincell="f" o:gfxdata="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XYD2QAAAAwBAAAPAAAAAAAAAAEAIAAAACIA&#10;AABkcnMvZG93bnJldi54bWxQSwECFAAUAAAACACHTuJAoNmgoEECAABiBAAADgAAAAAAAAABACAA&#10;AAAoAQAAZHJzL2Uyb0RvYy54bWxQSwUGAAAAAAYABgBZAQAA2wUAAAAA&#10;">
                <v:fill on="t" focussize="0,0"/>
                <v:stroke on="f"/>
                <v:imagedata o:title=""/>
                <o:lock v:ext="edit" aspectratio="f"/>
                <v:textbox>
                  <w:txbxContent>
                    <w:p w14:paraId="3EDCC80B">
                      <w:pPr>
                        <w:pStyle w:val="32"/>
                        <w:numPr>
                          <w:ilvl w:val="0"/>
                          <w:numId w:val="1"/>
                        </w:numPr>
                        <w:ind w:left="0" w:firstLine="480"/>
                        <w:jc w:val="both"/>
                        <w:rPr>
                          <w:rFonts w:hint="eastAsia" w:ascii="仿宋" w:hAnsi="仿宋"/>
                          <w:szCs w:val="28"/>
                        </w:rPr>
                      </w:pPr>
                      <w:r>
                        <w:rPr>
                          <w:rFonts w:hint="eastAsia" w:ascii="仿宋" w:hAnsi="仿宋"/>
                          <w:szCs w:val="28"/>
                        </w:rPr>
                        <w:t>政策动态方面，《城市公共交通条例》公布，明确对城市公共交通基础设施用地可以按照国家有关规定实施综合开发，同时《南京市轨道交通条例》首次修订，增加了综合开发的内容，反映了城市交通立法不断适应城市发展新需求。《城市轨道交通场站及周边土地综合开发评价》（征求意见稿）团体标准公开征求意见</w:t>
                      </w:r>
                      <w:r>
                        <w:rPr>
                          <w:rFonts w:ascii="仿宋" w:hAnsi="仿宋"/>
                          <w:bCs/>
                          <w:szCs w:val="28"/>
                        </w:rPr>
                        <w:t>，</w:t>
                      </w:r>
                      <w:r>
                        <w:rPr>
                          <w:rFonts w:hint="eastAsia" w:ascii="仿宋" w:hAnsi="仿宋"/>
                          <w:bCs/>
                          <w:szCs w:val="28"/>
                        </w:rPr>
                        <w:t>以及</w:t>
                      </w:r>
                      <w:r>
                        <w:rPr>
                          <w:rFonts w:ascii="仿宋" w:hAnsi="仿宋"/>
                          <w:bCs/>
                          <w:szCs w:val="28"/>
                        </w:rPr>
                        <w:t>湖南省地方标准《城市公交场站建设规范》</w:t>
                      </w:r>
                      <w:r>
                        <w:rPr>
                          <w:rFonts w:hint="eastAsia" w:ascii="仿宋" w:hAnsi="仿宋"/>
                          <w:bCs/>
                          <w:szCs w:val="28"/>
                        </w:rPr>
                        <w:t>的</w:t>
                      </w:r>
                      <w:r>
                        <w:rPr>
                          <w:rFonts w:ascii="仿宋" w:hAnsi="仿宋"/>
                          <w:bCs/>
                          <w:szCs w:val="28"/>
                        </w:rPr>
                        <w:t>发布</w:t>
                      </w:r>
                      <w:r>
                        <w:rPr>
                          <w:rFonts w:hint="eastAsia" w:ascii="仿宋" w:hAnsi="仿宋"/>
                          <w:bCs/>
                          <w:szCs w:val="28"/>
                        </w:rPr>
                        <w:t>，都显示出行业和地方都在积极推动城市公交场站综合开发规范化发展。</w:t>
                      </w:r>
                    </w:p>
                    <w:p w14:paraId="4910903C">
                      <w:pPr>
                        <w:pStyle w:val="32"/>
                        <w:numPr>
                          <w:ilvl w:val="0"/>
                          <w:numId w:val="1"/>
                        </w:numPr>
                        <w:ind w:left="0" w:firstLine="480"/>
                        <w:jc w:val="both"/>
                        <w:rPr>
                          <w:rFonts w:ascii="仿宋" w:hAnsi="仿宋"/>
                          <w:szCs w:val="28"/>
                        </w:rPr>
                      </w:pPr>
                      <w:r>
                        <w:rPr>
                          <w:rFonts w:hint="eastAsia" w:ascii="仿宋" w:hAnsi="仿宋"/>
                          <w:szCs w:val="28"/>
                        </w:rPr>
                        <w:t>行业动态方面，我国交通强国指数提升至全球第六位，彰显了我国在交通基础设施建设方面的巨大成就。2024中国城市轨道交通TOD论坛的举办，以及《中国城轨TOD指数报告（2024）》的发布，进一步凸显了“轨道+”模式在推动城市发展中的核心作用，尤其是都市圈跨城轨交联系逐年加强，预示着我国城市轨道交通未来发展的新方向。</w:t>
                      </w:r>
                    </w:p>
                    <w:p w14:paraId="5813B55A">
                      <w:pPr>
                        <w:pStyle w:val="32"/>
                        <w:numPr>
                          <w:ilvl w:val="0"/>
                          <w:numId w:val="1"/>
                        </w:numPr>
                        <w:ind w:left="0" w:firstLine="480"/>
                        <w:jc w:val="both"/>
                        <w:rPr>
                          <w:rFonts w:hint="eastAsia" w:ascii="仿宋" w:hAnsi="仿宋"/>
                          <w:szCs w:val="28"/>
                        </w:rPr>
                      </w:pPr>
                      <w:r>
                        <w:rPr>
                          <w:rFonts w:hint="eastAsia" w:ascii="仿宋" w:hAnsi="仿宋"/>
                          <w:szCs w:val="28"/>
                        </w:rPr>
                        <w:t>企业动态方面，</w:t>
                      </w:r>
                      <w:r>
                        <w:rPr>
                          <w:rFonts w:hint="eastAsia" w:ascii="仿宋" w:hAnsi="仿宋"/>
                        </w:rPr>
                        <w:t>深圳地铁67亿元竞得深圳机场东地块，合肥轨道57亿元竞得5幅住宅地块，使得10月份TOD成交总用地面积达到约45万平方米，总成交价格达到124亿元，显示出在房地产政策频出的背景下，地铁公司投资TOD项目步伐加快。此外，成都公交集团还发布了公交TOD保障性租赁住房品牌——锦安居，凸显了企业</w:t>
                      </w:r>
                      <w:r>
                        <w:rPr>
                          <w:rFonts w:ascii="仿宋" w:hAnsi="仿宋"/>
                          <w:szCs w:val="28"/>
                        </w:rPr>
                        <w:t>在推动TOD项目发展和提升城市居住品质方面的积极作为。</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方面，一系列特色亮点项目推进，展示了TOD模式在中国城市发展中的多样化和创新性。例如大湾区首个“PARK+TOD”综合体-深圳坂田万致天地商业综合体正式开业，济南首个轨道交通地下TOD综合体千佛山站TOD开建，西安首个“地铁+保租房+TOD商业”示范性项目建成投用等。</w:t>
                      </w:r>
                    </w:p>
                  </w:txbxContent>
                </v:textbox>
                <w10:wrap type="square"/>
              </v:shape>
            </w:pict>
          </mc:Fallback>
        </mc:AlternateContent>
      </w:r>
      <w:r>
        <w:rPr>
          <w:rFonts w:ascii="仿宋" w:hAnsi="仿宋" w:cs="Times New Roman"/>
          <w:color w:val="5B9BD5" w:themeColor="accent5"/>
          <w:kern w:val="44"/>
          <w:sz w:val="28"/>
          <w14:textFill>
            <w14:solidFill>
              <w14:schemeClr w14:val="accent5"/>
            </w14:solidFill>
          </w14:textFill>
        </w:rPr>
        <w:t>摘要</w:t>
      </w:r>
      <w:bookmarkEnd w:id="4"/>
      <w:bookmarkEnd w:id="5"/>
      <w:bookmarkEnd w:id="6"/>
    </w:p>
    <w:p w14:paraId="3B8728C4">
      <w:pPr>
        <w:pStyle w:val="48"/>
        <w:ind w:firstLine="480"/>
        <w:rPr>
          <w:rFonts w:hint="eastAsia" w:ascii="仿宋" w:hAnsi="仿宋"/>
        </w:rPr>
        <w:sectPr>
          <w:pgSz w:w="11906" w:h="16838"/>
          <w:pgMar w:top="1440" w:right="1800" w:bottom="1440" w:left="1800" w:header="1474" w:footer="964" w:gutter="0"/>
          <w:pgNumType w:start="1"/>
          <w:cols w:space="425" w:num="1"/>
          <w:docGrid w:type="lines" w:linePitch="326" w:charSpace="0"/>
        </w:sectPr>
      </w:pPr>
    </w:p>
    <w:p w14:paraId="08517F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7" w:name="_Toc182576414"/>
      <w:r>
        <w:rPr>
          <w:rFonts w:hint="eastAsia" w:ascii="黑体" w:hAnsi="黑体" w:eastAsia="黑体" w:cs="Times New Roman"/>
          <w:color w:val="5B9BD5" w:themeColor="accent5"/>
          <w:kern w:val="44"/>
          <w:sz w:val="28"/>
          <w14:textFill>
            <w14:solidFill>
              <w14:schemeClr w14:val="accent5"/>
            </w14:solidFill>
          </w14:textFill>
        </w:rPr>
        <w:t>一</w:t>
      </w:r>
      <w:r>
        <w:rPr>
          <w:rFonts w:ascii="黑体" w:hAnsi="黑体" w:eastAsia="黑体" w:cs="Times New Roman"/>
          <w:color w:val="5B9BD5" w:themeColor="accent5"/>
          <w:kern w:val="44"/>
          <w:sz w:val="28"/>
          <w14:textFill>
            <w14:solidFill>
              <w14:schemeClr w14:val="accent5"/>
            </w14:solidFill>
          </w14:textFill>
        </w:rPr>
        <w:t>、政策动态</w:t>
      </w:r>
      <w:bookmarkEnd w:id="7"/>
    </w:p>
    <w:p w14:paraId="6D011CE0">
      <w:pPr>
        <w:pStyle w:val="2"/>
        <w:numPr>
          <w:ilvl w:val="0"/>
          <w:numId w:val="2"/>
        </w:numPr>
        <w:rPr>
          <w:rFonts w:hint="eastAsia" w:ascii="仿宋" w:hAnsi="仿宋" w:cs="Arial"/>
          <w:color w:val="222222"/>
          <w:kern w:val="0"/>
          <w:szCs w:val="24"/>
          <w:shd w:val="clear" w:color="auto" w:fill="FFFFFF"/>
          <w:lang w:bidi="ar"/>
        </w:rPr>
      </w:pPr>
      <w:bookmarkStart w:id="8" w:name="_Toc182576415"/>
      <w:bookmarkStart w:id="9" w:name="_Hlk182570893"/>
      <w:bookmarkStart w:id="10" w:name="_Hlk163551680"/>
      <w:r>
        <w:rPr>
          <w:rFonts w:hint="eastAsia" w:ascii="仿宋" w:hAnsi="仿宋" w:cs="Arial"/>
          <w:color w:val="000000" w:themeColor="text1"/>
          <w:szCs w:val="28"/>
          <w:shd w:val="clear" w:color="auto" w:fill="FFFFFF"/>
          <w14:textFill>
            <w14:solidFill>
              <w14:schemeClr w14:val="tx1"/>
            </w14:solidFill>
          </w14:textFill>
        </w:rPr>
        <w:t>《城市公共交通条例》公布，明确</w:t>
      </w:r>
      <w:r>
        <w:rPr>
          <w:rFonts w:hint="eastAsia" w:ascii="仿宋" w:hAnsi="仿宋" w:cs="Arial"/>
          <w:color w:val="222222"/>
          <w:kern w:val="0"/>
          <w:szCs w:val="24"/>
          <w:shd w:val="clear" w:color="auto" w:fill="FFFFFF"/>
          <w:lang w:bidi="ar"/>
        </w:rPr>
        <w:t>可以按照国家有关规定实施综合开发</w:t>
      </w:r>
      <w:bookmarkEnd w:id="8"/>
    </w:p>
    <w:p w14:paraId="5EBDB5DC">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国务院总理李强日前签署国务院令，公布《城市公共交通条例》（以下简称《条例》），自2024年12月1日起施行。《条例》旨在推动城市公共交通高质量发展，提升城市公共交通服务水平，保障城市公共交通安全，更好满足公众基本出行需求，促进城市现代化建设。《条例》共6章55条，包括总则、发展保障、运营服务、安全管理、法律责任和附则。其中第十二条规定：城市人民政府应当依法保障城市公共交通基础设施用地。城市公共交通基础设施用地符合规定条件的，可以以划拨、协议出让等方式供给。在符合国土空间规划和用途管制要求且不影响城市公共交通功能和规模的前提下，对城市公共交通基础设施用地可以按照国家有关规定实施综合开发，支持城市公共交通发展。</w:t>
      </w:r>
    </w:p>
    <w:p w14:paraId="3C738284">
      <w:pPr>
        <w:pStyle w:val="2"/>
        <w:numPr>
          <w:ilvl w:val="0"/>
          <w:numId w:val="2"/>
        </w:numPr>
        <w:rPr>
          <w:rFonts w:ascii="仿宋" w:hAnsi="仿宋" w:cs="Arial"/>
          <w:color w:val="000000" w:themeColor="text1"/>
          <w:szCs w:val="28"/>
          <w:shd w:val="clear" w:color="auto" w:fill="FFFFFF"/>
          <w14:textFill>
            <w14:solidFill>
              <w14:schemeClr w14:val="tx1"/>
            </w14:solidFill>
          </w14:textFill>
        </w:rPr>
      </w:pPr>
      <w:bookmarkStart w:id="11" w:name="_Toc182576416"/>
      <w:r>
        <w:rPr>
          <w:rFonts w:hint="eastAsia" w:ascii="仿宋" w:hAnsi="仿宋" w:cs="Arial"/>
          <w:color w:val="000000" w:themeColor="text1"/>
          <w:szCs w:val="28"/>
          <w:shd w:val="clear" w:color="auto" w:fill="FFFFFF"/>
          <w14:textFill>
            <w14:solidFill>
              <w14:schemeClr w14:val="tx1"/>
            </w14:solidFill>
          </w14:textFill>
        </w:rPr>
        <w:t>《城市轨道交通场站及周边土地综合开发评价》（征求意见稿）公开征求意见</w:t>
      </w:r>
      <w:bookmarkEnd w:id="11"/>
    </w:p>
    <w:bookmarkEnd w:id="9"/>
    <w:p w14:paraId="5C0A0FC4">
      <w:pPr>
        <w:pStyle w:val="21"/>
        <w:spacing w:before="0" w:beforeAutospacing="0" w:after="0" w:afterAutospacing="0" w:line="360" w:lineRule="auto"/>
        <w:ind w:firstLine="480"/>
        <w:jc w:val="both"/>
        <w:rPr>
          <w:rFonts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近日，由资源经营专委会提出、由上海市隧道工程轨道交通设计研究院组织有关单位编写的《城市轨道交通场站及周边土地综合开发评价》（征求意见稿）团体标准公开征求意见。文件规定了城市轨道交通场站及周边土地综合开发的总体要求、规划设计、交通设计、建筑设计、结构设计、机电设备设计、消防设计、环境保护与减振降噪等的相关技术要求，适用于新（扩）建的城市轨道交通场站及其上盖建筑、以及城市轨道交通车站及车站毗邻建筑的规划与设计；改建的城市轨道交通场站及其上盖建筑、以及城市轨道交通车站及车站毗邻建筑的规划与设计可参照执行。</w:t>
      </w:r>
    </w:p>
    <w:p w14:paraId="4E5F1D06">
      <w:pPr>
        <w:pStyle w:val="2"/>
        <w:numPr>
          <w:ilvl w:val="0"/>
          <w:numId w:val="2"/>
        </w:numPr>
        <w:rPr>
          <w:rFonts w:hint="eastAsia" w:ascii="仿宋" w:hAnsi="仿宋" w:cs="Arial"/>
          <w:color w:val="222222"/>
          <w:kern w:val="0"/>
          <w:szCs w:val="24"/>
          <w:shd w:val="clear" w:color="auto" w:fill="FFFFFF"/>
          <w:lang w:bidi="ar"/>
        </w:rPr>
      </w:pPr>
      <w:bookmarkStart w:id="12" w:name="_Toc182576417"/>
      <w:r>
        <w:rPr>
          <w:rFonts w:hint="eastAsia" w:ascii="仿宋" w:hAnsi="仿宋" w:cs="Arial"/>
          <w:color w:val="222222"/>
          <w:kern w:val="0"/>
          <w:szCs w:val="24"/>
          <w:shd w:val="clear" w:color="auto" w:fill="FFFFFF"/>
          <w:lang w:bidi="ar"/>
        </w:rPr>
        <w:t>湖南省</w:t>
      </w:r>
      <w:r>
        <w:rPr>
          <w:rFonts w:hint="eastAsia" w:ascii="仿宋" w:hAnsi="仿宋" w:cs="Arial"/>
          <w:color w:val="000000" w:themeColor="text1"/>
          <w:szCs w:val="28"/>
          <w:shd w:val="clear" w:color="auto" w:fill="FFFFFF"/>
          <w14:textFill>
            <w14:solidFill>
              <w14:schemeClr w14:val="tx1"/>
            </w14:solidFill>
          </w14:textFill>
        </w:rPr>
        <w:t>《城市公交场站建设规范》</w:t>
      </w:r>
      <w:r>
        <w:rPr>
          <w:rFonts w:hint="eastAsia" w:ascii="仿宋" w:hAnsi="仿宋" w:cs="Arial"/>
          <w:color w:val="222222"/>
          <w:kern w:val="0"/>
          <w:szCs w:val="24"/>
          <w:shd w:val="clear" w:color="auto" w:fill="FFFFFF"/>
          <w:lang w:bidi="ar"/>
        </w:rPr>
        <w:t>发布，</w:t>
      </w:r>
      <w:r>
        <w:rPr>
          <w:shd w:val="clear" w:color="auto" w:fill="FFFFFF"/>
          <w:lang w:bidi="ar"/>
        </w:rPr>
        <w:t>可利用城市公交场站用地进行综合开发</w:t>
      </w:r>
      <w:bookmarkEnd w:id="12"/>
    </w:p>
    <w:p w14:paraId="6AC97B08">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日前，经湖南省市场监督管理局批准，湖南省道路运输管理局牵头，联合长沙阡陌交通规划设计有限公司、长沙理工大学等单位编制的湖南省地方标准《城市公交场站建设规范》（DB43/T3063—2024），将于2024年11月30日实施。该标准结合湖南省实际，规定了城市公交场站的选址、建设规模、平面布局、设施设备和建设参数等方面的要求，对于规范和指导城市公交场站建设，提升城市公共交通服务效率，落实“公交优先”发展战略具有重要意义。文件明确</w:t>
      </w:r>
      <w:r>
        <w:rPr>
          <w:rFonts w:ascii="仿宋" w:hAnsi="仿宋" w:eastAsia="仿宋" w:cs="Arial"/>
          <w:color w:val="222222"/>
          <w:shd w:val="clear" w:color="auto" w:fill="FFFFFF"/>
          <w:lang w:bidi="ar"/>
        </w:rPr>
        <w:t>在不改变用地性质、优先保障城市公交场站基本功能的前提下，可利用城市公交场站用地进行综合开发。</w:t>
      </w:r>
    </w:p>
    <w:p w14:paraId="0ED69F93">
      <w:pPr>
        <w:pStyle w:val="2"/>
        <w:numPr>
          <w:ilvl w:val="0"/>
          <w:numId w:val="2"/>
        </w:numPr>
        <w:rPr>
          <w:rFonts w:hint="eastAsia" w:ascii="仿宋" w:hAnsi="仿宋" w:cs="Arial"/>
          <w:color w:val="222222"/>
          <w:kern w:val="0"/>
          <w:szCs w:val="24"/>
          <w:shd w:val="clear" w:color="auto" w:fill="FFFFFF"/>
          <w:lang w:bidi="ar"/>
        </w:rPr>
      </w:pPr>
      <w:bookmarkStart w:id="13" w:name="_Toc182576418"/>
      <w:r>
        <w:rPr>
          <w:rFonts w:hint="eastAsia" w:ascii="仿宋" w:hAnsi="仿宋" w:cs="Arial"/>
          <w:color w:val="000000" w:themeColor="text1"/>
          <w:szCs w:val="28"/>
          <w:shd w:val="clear" w:color="auto" w:fill="FFFFFF"/>
          <w14:textFill>
            <w14:solidFill>
              <w14:schemeClr w14:val="tx1"/>
            </w14:solidFill>
          </w14:textFill>
        </w:rPr>
        <w:t>《唐山市城市综合交通体系规划》</w:t>
      </w:r>
      <w:r>
        <w:rPr>
          <w:rFonts w:hint="eastAsia" w:ascii="仿宋" w:hAnsi="仿宋" w:cs="Arial"/>
          <w:color w:val="222222"/>
          <w:kern w:val="0"/>
          <w:szCs w:val="24"/>
          <w:shd w:val="clear" w:color="auto" w:fill="FFFFFF"/>
          <w:lang w:bidi="ar"/>
        </w:rPr>
        <w:t>（2019-2035）发布，规划城轨交通110公里</w:t>
      </w:r>
      <w:bookmarkEnd w:id="13"/>
    </w:p>
    <w:p w14:paraId="5AB490E9">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8日，唐山市自然资源和规划局发布《唐山市城市综合交通体系规划》（2019-2035）。铁路系统规划方面，强化唐山铁路枢纽组织能力，重点加强至北京、天津、雄安、秦皇岛等方向的铁路联系，加强高速城际铁路、普速铁路、市域（郊）铁路融合衔接。</w:t>
      </w:r>
      <w:r>
        <w:rPr>
          <w:rFonts w:ascii="仿宋" w:hAnsi="仿宋" w:eastAsia="仿宋" w:cs="Arial"/>
          <w:color w:val="222222"/>
          <w:shd w:val="clear" w:color="auto" w:fill="FFFFFF"/>
          <w:lang w:bidi="ar"/>
        </w:rPr>
        <w:t>城市轨道系统规划</w:t>
      </w:r>
      <w:r>
        <w:rPr>
          <w:rFonts w:hint="eastAsia" w:ascii="仿宋" w:hAnsi="仿宋" w:eastAsia="仿宋" w:cs="Arial"/>
          <w:color w:val="222222"/>
          <w:shd w:val="clear" w:color="auto" w:fill="FFFFFF"/>
          <w:lang w:bidi="ar"/>
        </w:rPr>
        <w:t>方面，构筑支撑中心城区-曹妃甸同城化发展、支持城市多中心多组团空间结构、与土地利用相协调、规模合理的城市轨道交通体系。</w:t>
      </w:r>
      <w:r>
        <w:rPr>
          <w:rFonts w:ascii="仿宋" w:hAnsi="仿宋" w:eastAsia="仿宋" w:cs="Arial"/>
          <w:color w:val="222222"/>
          <w:shd w:val="clear" w:color="auto" w:fill="FFFFFF"/>
          <w:lang w:bidi="ar"/>
        </w:rPr>
        <w:t>规划城市轨道线路4条，1、2号线为十字型骨架线，其余为加密线，线网全长109.7公里，换乘车站7处，轨道线网密度约为0.35公里/平方公里。车辆基地规划轨道车辆基地共6处，包括唐山新城北综合维修基地，高新区、开平北、开平南车辆段，以及丰南西、丰南东停车场。</w:t>
      </w:r>
    </w:p>
    <w:p w14:paraId="279DE44C">
      <w:pPr>
        <w:pStyle w:val="2"/>
        <w:numPr>
          <w:ilvl w:val="0"/>
          <w:numId w:val="2"/>
        </w:numPr>
        <w:rPr>
          <w:rFonts w:hint="eastAsia" w:ascii="仿宋" w:hAnsi="仿宋" w:cs="Arial"/>
          <w:color w:val="222222"/>
          <w:kern w:val="0"/>
          <w:szCs w:val="24"/>
          <w:shd w:val="clear" w:color="auto" w:fill="FFFFFF"/>
          <w:lang w:bidi="ar"/>
        </w:rPr>
      </w:pPr>
      <w:bookmarkStart w:id="14" w:name="_Toc182576419"/>
      <w:r>
        <w:rPr>
          <w:rFonts w:hint="eastAsia" w:ascii="仿宋" w:hAnsi="仿宋" w:cs="Arial"/>
          <w:color w:val="222222"/>
          <w:kern w:val="0"/>
          <w:szCs w:val="24"/>
          <w:shd w:val="clear" w:color="auto" w:fill="FFFFFF"/>
          <w:lang w:bidi="ar"/>
        </w:rPr>
        <w:t>安顺市</w:t>
      </w:r>
      <w:r>
        <w:rPr>
          <w:rFonts w:hint="eastAsia" w:ascii="仿宋" w:hAnsi="仿宋" w:cs="Arial"/>
          <w:color w:val="000000" w:themeColor="text1"/>
          <w:szCs w:val="28"/>
          <w:shd w:val="clear" w:color="auto" w:fill="FFFFFF"/>
          <w14:textFill>
            <w14:solidFill>
              <w14:schemeClr w14:val="tx1"/>
            </w14:solidFill>
          </w14:textFill>
        </w:rPr>
        <w:t>《深入推动城市公共交通高质量发展的实施方案》</w:t>
      </w:r>
      <w:r>
        <w:rPr>
          <w:rFonts w:hint="eastAsia" w:ascii="仿宋" w:hAnsi="仿宋" w:cs="Arial"/>
          <w:color w:val="222222"/>
          <w:kern w:val="0"/>
          <w:szCs w:val="24"/>
          <w:shd w:val="clear" w:color="auto" w:fill="FFFFFF"/>
          <w:lang w:bidi="ar"/>
        </w:rPr>
        <w:t>明确加强用地综合开发</w:t>
      </w:r>
      <w:bookmarkEnd w:id="14"/>
    </w:p>
    <w:p w14:paraId="4F367CA7">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10月12日，安顺市人民政府发布《关于印发安顺市深入推动城市公共交通高质量发展的实施方案的通知》（以下简称《通知》）。《通知》明确加强用地综合开发</w:t>
      </w:r>
      <w:r>
        <w:rPr>
          <w:rFonts w:ascii="仿宋" w:hAnsi="仿宋" w:eastAsia="仿宋" w:cs="Arial"/>
          <w:color w:val="222222"/>
          <w:shd w:val="clear" w:color="auto" w:fill="FFFFFF"/>
          <w:lang w:bidi="ar"/>
        </w:rPr>
        <w:t>。推进以公共交通为导向的开发（TOD）模式，科学建设城市公共交通枢纽站、首末站、停保场和车辆基地等，并支持在优先保障场站交通服务基本功能前提下进行综合开发。对于存量城市公共交通场站，支持原土地使用者利用场站内部分闲置设施开展社会化商业服务。对于新增城市公共交通场站，应配套一定比例的附属商业设施，将配套要求纳入国土空间详细规划，并相应纳入土地供应规划条件。各县（区）政府（管委会）在土地开发利用过程中，充分保障公交设施用地。</w:t>
      </w:r>
    </w:p>
    <w:p w14:paraId="5CC98DC0">
      <w:pPr>
        <w:pStyle w:val="2"/>
        <w:numPr>
          <w:ilvl w:val="0"/>
          <w:numId w:val="2"/>
        </w:numPr>
        <w:rPr>
          <w:rFonts w:hint="eastAsia" w:ascii="仿宋" w:hAnsi="仿宋" w:cs="Arial"/>
          <w:color w:val="222222"/>
          <w:kern w:val="0"/>
          <w:szCs w:val="24"/>
          <w:shd w:val="clear" w:color="auto" w:fill="FFFFFF"/>
          <w:lang w:bidi="ar"/>
        </w:rPr>
      </w:pPr>
      <w:bookmarkStart w:id="15" w:name="_Toc182576420"/>
      <w:r>
        <w:rPr>
          <w:rFonts w:hint="eastAsia" w:ascii="仿宋" w:hAnsi="仿宋" w:cs="Arial"/>
          <w:color w:val="000000" w:themeColor="text1"/>
          <w:szCs w:val="28"/>
          <w:shd w:val="clear" w:color="auto" w:fill="FFFFFF"/>
          <w14:textFill>
            <w14:solidFill>
              <w14:schemeClr w14:val="tx1"/>
            </w14:solidFill>
          </w14:textFill>
        </w:rPr>
        <w:t>《佛山市城市轨道交通线网规划修编》</w:t>
      </w:r>
      <w:r>
        <w:rPr>
          <w:rFonts w:hint="eastAsia" w:ascii="仿宋" w:hAnsi="仿宋" w:cs="Arial"/>
          <w:color w:val="222222"/>
          <w:kern w:val="0"/>
          <w:szCs w:val="24"/>
          <w:shd w:val="clear" w:color="auto" w:fill="FFFFFF"/>
          <w:lang w:bidi="ar"/>
        </w:rPr>
        <w:t>公示方案发布</w:t>
      </w:r>
      <w:bookmarkEnd w:id="15"/>
    </w:p>
    <w:p w14:paraId="3B4FDA8A">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15日，“佛山市自然资源局关于征求《佛山市城市轨道交通线网规划修编》公众意见的公示”正式发布。根据该公示，至2050年，规划远景轨道线网共22条（其中佛山线路15条、广州线路7条），线路总规模约786公里（其中佛山线路长677.1公里，广州线路长108.6公里）。佛山市城市轨道交通线网规划修编，将会强化轨道交通对城市空间发展格局的战略引导，促进城市多中心、组团式发展，构筑区域融合的开放式轨道交通网络。整合铁路、枢纽设施、城市轨道等系统资源，建立多层次的综合交通体系，打造国铁、城际、城市轨道交通、有轨电车“四网融合”的现代综合客运体系。</w:t>
      </w:r>
    </w:p>
    <w:p w14:paraId="017FA72B">
      <w:pPr>
        <w:pStyle w:val="2"/>
        <w:numPr>
          <w:ilvl w:val="0"/>
          <w:numId w:val="2"/>
        </w:numPr>
        <w:rPr>
          <w:rFonts w:hint="eastAsia" w:ascii="仿宋" w:hAnsi="仿宋" w:cs="Arial"/>
          <w:color w:val="222222"/>
          <w:kern w:val="0"/>
          <w:szCs w:val="24"/>
          <w:shd w:val="clear" w:color="auto" w:fill="FFFFFF"/>
          <w:lang w:bidi="ar"/>
        </w:rPr>
      </w:pPr>
      <w:bookmarkStart w:id="16" w:name="_Toc182576421"/>
      <w:r>
        <w:rPr>
          <w:shd w:val="clear" w:color="auto" w:fill="FFFFFF"/>
          <w:lang w:bidi="ar"/>
        </w:rPr>
        <w:t>《湛江市城市综合交通体系规划修编》</w:t>
      </w:r>
      <w:r>
        <w:rPr>
          <w:rFonts w:hint="eastAsia" w:ascii="仿宋" w:hAnsi="仿宋" w:cs="Arial"/>
          <w:color w:val="222222"/>
          <w:kern w:val="0"/>
          <w:szCs w:val="24"/>
          <w:shd w:val="clear" w:color="auto" w:fill="FFFFFF"/>
          <w:lang w:bidi="ar"/>
        </w:rPr>
        <w:t>批后公示</w:t>
      </w:r>
      <w:bookmarkEnd w:id="16"/>
    </w:p>
    <w:p w14:paraId="193CD798">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10月15日，湛江市自然资源局发布了《湛江市城市综合交通体系规划修编》批后公告，对城市综合交通体系进行了调整，规划年限近期为2025年，远期为2035年。</w:t>
      </w:r>
      <w:r>
        <w:rPr>
          <w:rFonts w:hint="eastAsia" w:ascii="仿宋" w:hAnsi="仿宋" w:eastAsia="仿宋" w:cs="Arial"/>
          <w:color w:val="222222"/>
          <w:shd w:val="clear" w:color="auto" w:fill="FFFFFF"/>
          <w:lang w:bidi="ar"/>
        </w:rPr>
        <w:t>规划范围为市区范围，包括4个辖区;其中重点范围为中心城区范围，与国土空间规划保持一致，陆海总面积775.97平方公里，重点做好城市交通各子系统的设施布局，并进行用地控制；规划协调范围为整个市城范围，重点做好区域重大交通基础设施统筹。目标与战略方面，构建“通达高效、融合协调、便捷绿色、安全人本”的现代化综合交通体系，打造北部湾地区重要国际门户枢纽城市和现代化城市交通可持续发展典范。提出枢纽能级提升、“双快” 体系塑城、绿色转型提效、智慧管理赋能四大交通发展战略。远期(2035年)轨道网络共由6条线路组成线网总体规模为166.3km，设站100座。</w:t>
      </w:r>
    </w:p>
    <w:p w14:paraId="7858EEE7">
      <w:pPr>
        <w:pStyle w:val="2"/>
        <w:numPr>
          <w:ilvl w:val="0"/>
          <w:numId w:val="2"/>
        </w:numPr>
        <w:rPr>
          <w:rFonts w:hint="eastAsia" w:ascii="仿宋" w:hAnsi="仿宋" w:cs="Arial"/>
          <w:color w:val="222222"/>
          <w:kern w:val="0"/>
          <w:szCs w:val="24"/>
          <w:shd w:val="clear" w:color="auto" w:fill="FFFFFF"/>
          <w:lang w:bidi="ar"/>
        </w:rPr>
      </w:pPr>
      <w:bookmarkStart w:id="17" w:name="_Toc182576422"/>
      <w:r>
        <w:rPr>
          <w:rFonts w:hint="eastAsia" w:ascii="仿宋" w:hAnsi="仿宋" w:cs="Arial"/>
          <w:color w:val="222222"/>
          <w:kern w:val="0"/>
          <w:szCs w:val="24"/>
          <w:shd w:val="clear" w:color="auto" w:fill="FFFFFF"/>
          <w:lang w:bidi="ar"/>
        </w:rPr>
        <w:t>《深圳市综合立体交通网规划方案（2024-2035年）》印发，</w:t>
      </w:r>
      <w:r>
        <w:rPr>
          <w:rFonts w:ascii="仿宋" w:hAnsi="仿宋" w:cs="Arial"/>
          <w:color w:val="222222"/>
          <w:shd w:val="clear" w:color="auto" w:fill="FFFFFF"/>
          <w:lang w:bidi="ar"/>
        </w:rPr>
        <w:t>全面落实“枢纽营城”理念</w:t>
      </w:r>
      <w:bookmarkEnd w:id="17"/>
    </w:p>
    <w:p w14:paraId="1965305F">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10月21日，深圳市人民政府办公厅印发《深圳市综合立体交通网规划方案（2024-2035年）》（以下简称《方案》）。</w:t>
      </w:r>
      <w:r>
        <w:rPr>
          <w:rFonts w:ascii="仿宋" w:hAnsi="仿宋" w:eastAsia="仿宋" w:cs="Arial"/>
          <w:color w:val="222222"/>
          <w:shd w:val="clear" w:color="auto" w:fill="FFFFFF"/>
          <w:lang w:bidi="ar"/>
        </w:rPr>
        <w:t>《方案》</w:t>
      </w:r>
      <w:r>
        <w:rPr>
          <w:rFonts w:hint="eastAsia" w:ascii="仿宋" w:hAnsi="仿宋" w:eastAsia="仿宋" w:cs="Arial"/>
          <w:color w:val="222222"/>
          <w:shd w:val="clear" w:color="auto" w:fill="FFFFFF"/>
          <w:lang w:bidi="ar"/>
        </w:rPr>
        <w:t>提出</w:t>
      </w:r>
      <w:r>
        <w:rPr>
          <w:rFonts w:ascii="仿宋" w:hAnsi="仿宋" w:eastAsia="仿宋" w:cs="Arial"/>
          <w:color w:val="222222"/>
          <w:shd w:val="clear" w:color="auto" w:fill="FFFFFF"/>
          <w:lang w:bidi="ar"/>
        </w:rPr>
        <w:t>打造融合一体的交通枢纽体系</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加强枢纽多式协同布局与空间综合立体开发，创新土地供应与一体化开发机制，提高土地集约化利用水平，立体拓展城市发展空问。全面落实“枢纽营城”理念，统筹兼顾交通枢纽场站能级和布局、周边重点产业园区分布、产业类型同交通场站联系紧密程度、土地开发利用强度等多重因素，形成全球领先、特色鲜明、布局合理的枢纽经济。推动站城一体、站城融合发展，融合“交通设计+城市设计”，提升上盖、地下立体空间开发品质，以枢纽综合开发为依托建设片区新门户，打造承载城市生活和交通转换的多功能综合性</w:t>
      </w:r>
      <w:r>
        <w:rPr>
          <w:rFonts w:hint="eastAsia" w:ascii="仿宋" w:hAnsi="仿宋" w:eastAsia="仿宋" w:cs="Arial"/>
          <w:color w:val="222222"/>
          <w:shd w:val="clear" w:color="auto" w:fill="FFFFFF"/>
          <w:lang w:bidi="ar"/>
        </w:rPr>
        <w:t>空间</w:t>
      </w:r>
      <w:r>
        <w:rPr>
          <w:rFonts w:ascii="仿宋" w:hAnsi="仿宋" w:eastAsia="仿宋" w:cs="Arial"/>
          <w:color w:val="222222"/>
          <w:shd w:val="clear" w:color="auto" w:fill="FFFFFF"/>
          <w:lang w:bidi="ar"/>
        </w:rPr>
        <w:t>载体，形成枢纽营城典范。探索创新枢纽场站规划开发建设和管理运营新模式，推进分层设权、分层供地模式落地实施，推动枢纽与周边城市用地高效整合，一体化规划建设。</w:t>
      </w:r>
    </w:p>
    <w:p w14:paraId="59FD726B">
      <w:pPr>
        <w:pStyle w:val="2"/>
        <w:numPr>
          <w:ilvl w:val="0"/>
          <w:numId w:val="2"/>
        </w:numPr>
        <w:rPr>
          <w:rFonts w:hint="eastAsia" w:ascii="仿宋" w:hAnsi="仿宋" w:cs="Arial"/>
          <w:color w:val="222222"/>
          <w:kern w:val="0"/>
          <w:szCs w:val="24"/>
          <w:shd w:val="clear" w:color="auto" w:fill="FFFFFF"/>
          <w:lang w:bidi="ar"/>
        </w:rPr>
      </w:pPr>
      <w:bookmarkStart w:id="18" w:name="_Toc182576423"/>
      <w:r>
        <w:rPr>
          <w:rFonts w:hint="eastAsia" w:ascii="仿宋" w:hAnsi="仿宋" w:cs="Arial"/>
          <w:color w:val="222222"/>
          <w:kern w:val="0"/>
          <w:szCs w:val="24"/>
          <w:shd w:val="clear" w:color="auto" w:fill="FFFFFF"/>
          <w:lang w:bidi="ar"/>
        </w:rPr>
        <w:t>《南京市轨道交通条例》首次修订，增加了综合开发的内容</w:t>
      </w:r>
      <w:bookmarkEnd w:id="18"/>
    </w:p>
    <w:p w14:paraId="1E804BE5">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22日，《南京市轨道交通条例（修订草案）》（以下简称《条例（修订草案）》提请市十七届人大常委会第十四次会议审议。此次修订不仅是贯彻落实党中央、国务院关于加快建设交通强国的战略决策，更是将</w:t>
      </w:r>
      <w:r>
        <w:rPr>
          <w:rFonts w:hint="eastAsia" w:ascii="仿宋" w:hAnsi="仿宋" w:eastAsia="仿宋" w:cs="Arial"/>
          <w:color w:val="222222"/>
          <w:shd w:val="clear" w:color="auto" w:fill="FFFFFF"/>
          <w:lang w:bidi="ar"/>
        </w:rPr>
        <w:t>南京</w:t>
      </w:r>
      <w:r>
        <w:rPr>
          <w:rFonts w:ascii="仿宋" w:hAnsi="仿宋" w:eastAsia="仿宋" w:cs="Arial"/>
          <w:color w:val="222222"/>
          <w:shd w:val="clear" w:color="auto" w:fill="FFFFFF"/>
          <w:lang w:bidi="ar"/>
        </w:rPr>
        <w:t>市轨道交通发展的实践经验与立法政策有效衔接的关键举措。《条例（修订草案）》共八章68条，内容全面覆盖规划、建设、运营、安全保障等多个关键环节。《条例（修订草案）》拟新增用地管理、结合建设、相邻关系条款，明确轨道交通建设用地使用权可分层设立并登记，规范结合建设及相邻区域的权责及协调程序。将《关于进一步推进南京市轨道交通场站及周边土地综合开发利用的实施意见》相关内容纳入“综合开发”专章，促进轨道交通场站及周边开发与城市发展战略协同。</w:t>
      </w:r>
    </w:p>
    <w:p w14:paraId="49F0EF8F">
      <w:pPr>
        <w:pStyle w:val="2"/>
        <w:numPr>
          <w:ilvl w:val="0"/>
          <w:numId w:val="2"/>
        </w:numPr>
        <w:rPr>
          <w:rFonts w:hint="eastAsia" w:ascii="仿宋" w:hAnsi="仿宋" w:cs="Arial"/>
          <w:color w:val="222222"/>
          <w:kern w:val="0"/>
          <w:szCs w:val="24"/>
          <w:shd w:val="clear" w:color="auto" w:fill="FFFFFF"/>
          <w:lang w:bidi="ar"/>
        </w:rPr>
      </w:pPr>
      <w:bookmarkStart w:id="19" w:name="_Toc182576424"/>
      <w:r>
        <w:rPr>
          <w:rFonts w:hint="eastAsia" w:ascii="仿宋" w:hAnsi="仿宋" w:cs="Arial"/>
          <w:color w:val="222222"/>
          <w:kern w:val="0"/>
          <w:szCs w:val="24"/>
          <w:shd w:val="clear" w:color="auto" w:fill="FFFFFF"/>
          <w:lang w:bidi="ar"/>
        </w:rPr>
        <w:t>自然资源部发布</w:t>
      </w:r>
      <w:r>
        <w:rPr>
          <w:rFonts w:hint="eastAsia" w:ascii="仿宋" w:hAnsi="仿宋" w:cs="Arial"/>
          <w:color w:val="222222"/>
          <w:shd w:val="clear" w:color="auto" w:fill="FFFFFF"/>
          <w:lang w:bidi="ar"/>
        </w:rPr>
        <w:t>《关于加强自然资源要素保障促进现代物流高质量发展的通知》</w:t>
      </w:r>
      <w:r>
        <w:rPr>
          <w:rFonts w:hint="eastAsia" w:ascii="仿宋" w:hAnsi="仿宋" w:cs="Arial"/>
          <w:color w:val="222222"/>
          <w:kern w:val="0"/>
          <w:szCs w:val="24"/>
          <w:shd w:val="clear" w:color="auto" w:fill="FFFFFF"/>
          <w:lang w:bidi="ar"/>
        </w:rPr>
        <w:t>，增加混合用地</w:t>
      </w:r>
      <w:r>
        <w:rPr>
          <w:rFonts w:hint="eastAsia" w:ascii="仿宋" w:hAnsi="仿宋" w:cs="Arial"/>
          <w:color w:val="000000" w:themeColor="text1"/>
          <w:szCs w:val="28"/>
          <w:shd w:val="clear" w:color="auto" w:fill="FFFFFF"/>
          <w14:textFill>
            <w14:solidFill>
              <w14:schemeClr w14:val="tx1"/>
            </w14:solidFill>
          </w14:textFill>
        </w:rPr>
        <w:t>供给</w:t>
      </w:r>
      <w:bookmarkEnd w:id="19"/>
    </w:p>
    <w:p w14:paraId="667A5B2F">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23日，自然资源部网站发布《关于加强自然资源要素保障促进现代物流高质量发展的通知》(以下简称《通知》)。《通知》明确，鼓励地方政府与铁路部门优先利用既有铁路场站，整合毗邻区域土地综合开发利用需求，共同推进铁路物流园区建设。探索通过自主改造、土地置换、引入第三方投资等方式，推动铁路货运场站布局调整或升级改造。《通知》还提及，增加混合用地供给，鼓励兼容物流功能。推进铁路物流场站设施用地分层立体开发，在符合规划的前提下，可兼容一定比例其他功能，并可分层设立建设用地使用权。探索铁路货运场站开展仓储物流服务，鼓励依托城市铁路场站、汽车客运站、城市公交首末站、城市停车场等拓展快递收发分拣和城市配送服务。在具备条件的前提下，支持在高速公路出入口附近及服务区周边规划建设高速公路中转货运场站和物流中心，支持在公共场所及社区规划建设低空飞行服务与监管设施。增加混合产业用地供给，在符合规划的前提下，允许物流仓储用地和一类工业用地合理转换，减少物流资源闲置。</w:t>
      </w:r>
    </w:p>
    <w:p w14:paraId="7F08F722">
      <w:pPr>
        <w:ind w:firstLine="482"/>
        <w:rPr>
          <w:rFonts w:hint="eastAsia" w:ascii="仿宋" w:hAnsi="仿宋"/>
          <w:b/>
          <w:bCs/>
          <w:color w:val="227ACB"/>
        </w:rPr>
      </w:pPr>
    </w:p>
    <w:bookmarkEnd w:id="10"/>
    <w:p w14:paraId="337CEBAA">
      <w:pPr>
        <w:pStyle w:val="48"/>
        <w:ind w:firstLine="480"/>
        <w:rPr>
          <w:rFonts w:hint="eastAsia" w:ascii="仿宋" w:hAnsi="仿宋"/>
        </w:rPr>
      </w:pPr>
    </w:p>
    <w:p w14:paraId="56C5A9D2">
      <w:pPr>
        <w:ind w:firstLine="480"/>
        <w:rPr>
          <w:rFonts w:hint="eastAsia" w:ascii="仿宋" w:hAnsi="仿宋"/>
        </w:rPr>
        <w:sectPr>
          <w:headerReference r:id="rId12" w:type="default"/>
          <w:pgSz w:w="11906" w:h="16838"/>
          <w:pgMar w:top="1440" w:right="1800" w:bottom="1440" w:left="1800" w:header="1474" w:footer="964" w:gutter="0"/>
          <w:cols w:space="425" w:num="1"/>
          <w:docGrid w:type="lines" w:linePitch="326" w:charSpace="0"/>
        </w:sectPr>
      </w:pPr>
    </w:p>
    <w:p w14:paraId="4BA5F5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20" w:name="_Toc182576425"/>
      <w:r>
        <w:rPr>
          <w:rFonts w:hint="eastAsia" w:ascii="黑体" w:hAnsi="黑体" w:eastAsia="黑体" w:cs="Times New Roman"/>
          <w:color w:val="5B9BD5" w:themeColor="accent5"/>
          <w:kern w:val="44"/>
          <w:sz w:val="28"/>
          <w14:textFill>
            <w14:solidFill>
              <w14:schemeClr w14:val="accent5"/>
            </w14:solidFill>
          </w14:textFill>
        </w:rPr>
        <w:t>二</w:t>
      </w:r>
      <w:r>
        <w:rPr>
          <w:rFonts w:ascii="黑体" w:hAnsi="黑体" w:eastAsia="黑体" w:cs="Times New Roman"/>
          <w:color w:val="5B9BD5" w:themeColor="accent5"/>
          <w:kern w:val="44"/>
          <w:sz w:val="28"/>
          <w14:textFill>
            <w14:solidFill>
              <w14:schemeClr w14:val="accent5"/>
            </w14:solidFill>
          </w14:textFill>
        </w:rPr>
        <w:t>、行业动态</w:t>
      </w:r>
      <w:bookmarkEnd w:id="20"/>
    </w:p>
    <w:p w14:paraId="5E600A93">
      <w:pPr>
        <w:pStyle w:val="2"/>
        <w:numPr>
          <w:ilvl w:val="0"/>
          <w:numId w:val="3"/>
        </w:numPr>
        <w:rPr>
          <w:rFonts w:hint="eastAsia" w:ascii="仿宋" w:hAnsi="仿宋" w:cs="Arial"/>
          <w:color w:val="222222"/>
          <w:kern w:val="0"/>
          <w:szCs w:val="24"/>
          <w:shd w:val="clear" w:color="auto" w:fill="FFFFFF"/>
          <w:lang w:bidi="ar"/>
        </w:rPr>
      </w:pPr>
      <w:bookmarkStart w:id="21" w:name="_Toc182576426"/>
      <w:r>
        <w:rPr>
          <w:rFonts w:hint="eastAsia" w:ascii="仿宋" w:hAnsi="仿宋" w:cs="Arial"/>
          <w:color w:val="222222"/>
          <w:kern w:val="0"/>
          <w:szCs w:val="24"/>
          <w:shd w:val="clear" w:color="auto" w:fill="FFFFFF"/>
          <w:lang w:bidi="ar"/>
        </w:rPr>
        <w:t>我国交通强国指数位居全球第六位，比20</w:t>
      </w:r>
      <w:r>
        <w:rPr>
          <w:rFonts w:hint="eastAsia" w:ascii="仿宋" w:hAnsi="仿宋" w:cs="Arial"/>
          <w:color w:val="000000" w:themeColor="text1"/>
          <w:szCs w:val="28"/>
          <w:shd w:val="clear" w:color="auto" w:fill="FFFFFF"/>
          <w14:textFill>
            <w14:solidFill>
              <w14:schemeClr w14:val="tx1"/>
            </w14:solidFill>
          </w14:textFill>
        </w:rPr>
        <w:t>12</w:t>
      </w:r>
      <w:r>
        <w:rPr>
          <w:rFonts w:hint="eastAsia" w:ascii="仿宋" w:hAnsi="仿宋" w:cs="Arial"/>
          <w:color w:val="222222"/>
          <w:kern w:val="0"/>
          <w:szCs w:val="24"/>
          <w:shd w:val="clear" w:color="auto" w:fill="FFFFFF"/>
          <w:lang w:bidi="ar"/>
        </w:rPr>
        <w:t>年上升3位</w:t>
      </w:r>
      <w:bookmarkEnd w:id="21"/>
    </w:p>
    <w:p w14:paraId="25828784">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今年是《交通强国建设纲要》印发实施第5年，从</w:t>
      </w:r>
      <w:r>
        <w:rPr>
          <w:rFonts w:hint="eastAsia" w:ascii="仿宋" w:hAnsi="仿宋" w:eastAsia="仿宋" w:cs="Arial"/>
          <w:color w:val="222222"/>
          <w:shd w:val="clear" w:color="auto" w:fill="FFFFFF"/>
          <w:lang w:bidi="ar"/>
        </w:rPr>
        <w:t>10月</w:t>
      </w:r>
      <w:r>
        <w:rPr>
          <w:rFonts w:ascii="仿宋" w:hAnsi="仿宋" w:eastAsia="仿宋" w:cs="Arial"/>
          <w:color w:val="222222"/>
          <w:shd w:val="clear" w:color="auto" w:fill="FFFFFF"/>
          <w:lang w:bidi="ar"/>
        </w:rPr>
        <w:t>22日在南京举办的加快建设交通强国大会上获悉：5年来，交通强国建设试点取得良好成效，累计组织112个单位开展了618项交通强国建设试点任务。经过多年建设，加快建设交通强国实现良好开局，进入新的历史阶段。5年来，交通运输在“大”的基础上向“强”又迈进了一大步、在“有”的基础上向“好”又迈进了一大步。我国建成了全球最大的高速铁路网、高速公路网、邮政快递网和世界级港口群，综合交通网里程超过600万公里，总规模居世界前列。据测算，目前我国交通强国指数为88.9，在全球主要国家中居第6位，比2012年上升3位。</w:t>
      </w:r>
    </w:p>
    <w:p w14:paraId="4C0D2824">
      <w:pPr>
        <w:pStyle w:val="2"/>
        <w:numPr>
          <w:ilvl w:val="0"/>
          <w:numId w:val="3"/>
        </w:numPr>
        <w:rPr>
          <w:rFonts w:hint="eastAsia" w:ascii="仿宋" w:hAnsi="仿宋" w:cs="Arial"/>
          <w:color w:val="222222"/>
          <w:kern w:val="0"/>
          <w:szCs w:val="24"/>
          <w:shd w:val="clear" w:color="auto" w:fill="FFFFFF"/>
          <w:lang w:bidi="ar"/>
        </w:rPr>
      </w:pPr>
      <w:bookmarkStart w:id="22" w:name="_Toc182576427"/>
      <w:r>
        <w:rPr>
          <w:rFonts w:hint="eastAsia" w:ascii="仿宋" w:hAnsi="仿宋" w:cs="Arial"/>
          <w:color w:val="222222"/>
          <w:kern w:val="0"/>
          <w:szCs w:val="24"/>
          <w:shd w:val="clear" w:color="auto" w:fill="FFFFFF"/>
          <w:lang w:bidi="ar"/>
        </w:rPr>
        <w:t>2024中国城市轨道交通TOD论坛在深举办</w:t>
      </w:r>
      <w:bookmarkEnd w:id="22"/>
    </w:p>
    <w:p w14:paraId="2FC9CA71">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中国城市轨道交通TOD论坛2024深圳年会于10月11日-12日在深圳举办。来自全国各地24家轨道交通代表性企业齐聚深圳，共同探讨在当前深化改革背景下“TOD+产业融合”的新路径。此次论坛以“全面深化改革，城轨TOD助推城市高质量发展”为主题，举办TOD论坛及TOD项目考察活动，并发布《中国城轨TOD指数报告（2024）》，全国8家地铁公司在论坛进行分享，展示各地城轨交通TOD的创新实践和经验做法。</w:t>
      </w:r>
    </w:p>
    <w:p w14:paraId="7B396FB7">
      <w:pPr>
        <w:pStyle w:val="2"/>
        <w:numPr>
          <w:ilvl w:val="0"/>
          <w:numId w:val="3"/>
        </w:numPr>
        <w:rPr>
          <w:rFonts w:hint="eastAsia" w:ascii="仿宋" w:hAnsi="仿宋" w:cs="Arial"/>
          <w:color w:val="222222"/>
          <w:kern w:val="0"/>
          <w:szCs w:val="24"/>
          <w:shd w:val="clear" w:color="auto" w:fill="FFFFFF"/>
          <w:lang w:bidi="ar"/>
        </w:rPr>
      </w:pPr>
      <w:bookmarkStart w:id="23" w:name="_Toc182576428"/>
      <w:r>
        <w:rPr>
          <w:rFonts w:ascii="仿宋" w:hAnsi="仿宋" w:cs="Arial"/>
          <w:color w:val="222222"/>
          <w:kern w:val="0"/>
          <w:szCs w:val="24"/>
          <w:shd w:val="clear" w:color="auto" w:fill="FFFFFF"/>
          <w:lang w:bidi="ar"/>
        </w:rPr>
        <w:t>北京大学深圳研究生院-蕾奥“TOD+城市运营”联合实验室正式揭牌</w:t>
      </w:r>
      <w:bookmarkEnd w:id="23"/>
    </w:p>
    <w:p w14:paraId="657FCBE5">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11日下午，北京大学深圳研究生院-蕾奥“TOD+城市运营”联合实验室在深圳正式成立。蕾奥董事长王富海和北京大学深圳研究生院常务副院长杨震共同为联合实验室揭牌。“TOD+城市运营”联合实验室的宗旨是将北京大学深耕学术科研的传统和蕾奥致力于实践创新的精神结合起来，在我国城镇化模式转型的大背景下，为城市发展和运营提供新的思路和方案。联合实验室将以“TOD+城市运营”为主题，构建全球范围内的基础数据库，并通过理论创新和技术创新，研发基于TOD理念的智能运营理论与方法体系。未来，联合实验室将重点研究包括TOD理论与方法、效益评估体系、知识图谱与大模型的构建。</w:t>
      </w:r>
    </w:p>
    <w:p w14:paraId="72BDF950">
      <w:pPr>
        <w:pStyle w:val="2"/>
        <w:numPr>
          <w:ilvl w:val="0"/>
          <w:numId w:val="3"/>
        </w:numPr>
        <w:rPr>
          <w:rFonts w:hint="eastAsia" w:ascii="仿宋" w:hAnsi="仿宋"/>
          <w:szCs w:val="24"/>
        </w:rPr>
      </w:pPr>
      <w:bookmarkStart w:id="24" w:name="_Toc182576429"/>
      <w:r>
        <w:rPr>
          <w:rFonts w:ascii="仿宋" w:hAnsi="仿宋" w:cs="Arial"/>
          <w:color w:val="222222"/>
          <w:kern w:val="0"/>
          <w:szCs w:val="24"/>
          <w:shd w:val="clear" w:color="auto" w:fill="FFFFFF"/>
          <w:lang w:bidi="ar"/>
        </w:rPr>
        <w:t>《中国城轨TOD指数报告（</w:t>
      </w:r>
      <w:r>
        <w:rPr>
          <w:rFonts w:ascii="仿宋" w:hAnsi="仿宋" w:cs="Arial"/>
          <w:color w:val="000000" w:themeColor="text1"/>
          <w:szCs w:val="28"/>
          <w:shd w:val="clear" w:color="auto" w:fill="FFFFFF"/>
          <w14:textFill>
            <w14:solidFill>
              <w14:schemeClr w14:val="tx1"/>
            </w14:solidFill>
          </w14:textFill>
        </w:rPr>
        <w:t>2024</w:t>
      </w:r>
      <w:r>
        <w:rPr>
          <w:rFonts w:ascii="仿宋" w:hAnsi="仿宋" w:cs="Arial"/>
          <w:color w:val="222222"/>
          <w:kern w:val="0"/>
          <w:szCs w:val="24"/>
          <w:shd w:val="clear" w:color="auto" w:fill="FFFFFF"/>
          <w:lang w:bidi="ar"/>
        </w:rPr>
        <w:t>）》</w:t>
      </w:r>
      <w:r>
        <w:rPr>
          <w:rFonts w:hint="eastAsia" w:ascii="仿宋" w:hAnsi="仿宋" w:cs="Arial"/>
          <w:color w:val="222222"/>
          <w:kern w:val="0"/>
          <w:szCs w:val="24"/>
          <w:shd w:val="clear" w:color="auto" w:fill="FFFFFF"/>
          <w:lang w:bidi="ar"/>
        </w:rPr>
        <w:t>正式发布，</w:t>
      </w:r>
      <w:r>
        <w:rPr>
          <w:rFonts w:hint="eastAsia" w:ascii="仿宋" w:hAnsi="仿宋" w:cs="Arial"/>
          <w:color w:val="222222"/>
          <w:shd w:val="clear" w:color="auto" w:fill="FFFFFF"/>
          <w:lang w:bidi="ar"/>
        </w:rPr>
        <w:t>都市圈跨城轨交联系逐年加强</w:t>
      </w:r>
      <w:bookmarkEnd w:id="24"/>
    </w:p>
    <w:p w14:paraId="7D126C31">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10月12日，</w:t>
      </w:r>
      <w:r>
        <w:rPr>
          <w:rFonts w:hint="eastAsia" w:ascii="仿宋" w:hAnsi="仿宋" w:eastAsia="仿宋" w:cs="Arial"/>
          <w:color w:val="222222"/>
          <w:shd w:val="clear" w:color="auto" w:fill="FFFFFF"/>
          <w:lang w:bidi="ar"/>
        </w:rPr>
        <w:t>在</w:t>
      </w:r>
      <w:r>
        <w:rPr>
          <w:rFonts w:ascii="仿宋" w:hAnsi="仿宋" w:eastAsia="仿宋" w:cs="Arial"/>
          <w:color w:val="222222"/>
          <w:shd w:val="clear" w:color="auto" w:fill="FFFFFF"/>
          <w:lang w:bidi="ar"/>
        </w:rPr>
        <w:t>中国城市轨道交通TOD论坛2024深圳年会期间，《中国城轨TOD指数报告（2024）》（以下简称“报告”）正式发布。</w:t>
      </w:r>
      <w:bookmarkStart w:id="25" w:name="_Hlk182573065"/>
      <w:r>
        <w:rPr>
          <w:rFonts w:hint="eastAsia" w:ascii="仿宋" w:hAnsi="仿宋" w:eastAsia="仿宋" w:cs="Arial"/>
          <w:color w:val="222222"/>
          <w:shd w:val="clear" w:color="auto" w:fill="FFFFFF"/>
          <w:lang w:bidi="ar"/>
        </w:rPr>
        <w:t>据报告分析，中国内地城轨交通及TOD发展趋势表现为：一是2023年新开通运营站点数回落，客流总量创新高，客流强度尚未超过历史最高水平。二是市域铁路迎来建设和开通运营热潮，都市圈跨城轨交联系逐年加强。三是在TOD人口覆盖率方面，轨道站点服务范围常住人口覆盖率持续提升。四是站点人口圈层梯度分布日趋明显，不同城市表现各异；深圳的圈层梯度最明显、人口耦合度</w:t>
      </w:r>
      <w:bookmarkEnd w:id="25"/>
      <w:r>
        <w:rPr>
          <w:rFonts w:hint="eastAsia" w:ascii="仿宋" w:hAnsi="仿宋" w:eastAsia="仿宋" w:cs="Arial"/>
          <w:color w:val="222222"/>
          <w:shd w:val="clear" w:color="auto" w:fill="FFFFFF"/>
          <w:lang w:bidi="ar"/>
        </w:rPr>
        <w:t>最高。五是轨交站点周边工作人口的聚集度逐渐提升，TOD区域是公共交通客流的主要客源区。六是2023年TOD城市的交通拥堵指数和市内出行强度均增加，也是城轨交通客流增长的客观条件。深圳是2023年一线城市中日均客流量创下新高的唯一城市，较2019年增长51%。七是经济发达城市的站点周边商办占比较高；轨道对于住宅物业价值的提升较为明显，价格的圈层性较强。八是在排名方面，深圳/厦门分列成网和未成网城市TOD指数综合排名首位，深圳蝉联全网首位。</w:t>
      </w:r>
    </w:p>
    <w:p w14:paraId="74934CAC">
      <w:pPr>
        <w:pStyle w:val="2"/>
        <w:numPr>
          <w:ilvl w:val="0"/>
          <w:numId w:val="3"/>
        </w:numPr>
        <w:rPr>
          <w:rFonts w:hint="eastAsia" w:ascii="仿宋" w:hAnsi="仿宋" w:cs="Arial"/>
          <w:color w:val="222222"/>
          <w:kern w:val="0"/>
          <w:szCs w:val="24"/>
          <w:shd w:val="clear" w:color="auto" w:fill="FFFFFF"/>
          <w:lang w:bidi="ar"/>
        </w:rPr>
      </w:pPr>
      <w:bookmarkStart w:id="26" w:name="_Toc182576430"/>
      <w:r>
        <w:rPr>
          <w:rFonts w:hint="eastAsia" w:ascii="仿宋" w:hAnsi="仿宋" w:cs="Arial"/>
          <w:color w:val="222222"/>
          <w:kern w:val="0"/>
          <w:szCs w:val="24"/>
          <w:shd w:val="clear" w:color="auto" w:fill="FFFFFF"/>
          <w:lang w:bidi="ar"/>
        </w:rPr>
        <w:t>金义高铁站区块规划出炉，打造“未来空铁枢纽，</w:t>
      </w:r>
      <w:r>
        <w:rPr>
          <w:rFonts w:hint="eastAsia" w:ascii="仿宋" w:hAnsi="仿宋" w:cs="Arial"/>
          <w:color w:val="000000" w:themeColor="text1"/>
          <w:szCs w:val="28"/>
          <w:shd w:val="clear" w:color="auto" w:fill="FFFFFF"/>
          <w14:textFill>
            <w14:solidFill>
              <w14:schemeClr w14:val="tx1"/>
            </w14:solidFill>
          </w14:textFill>
        </w:rPr>
        <w:t>品质</w:t>
      </w:r>
      <w:r>
        <w:rPr>
          <w:rFonts w:hint="eastAsia" w:ascii="仿宋" w:hAnsi="仿宋" w:cs="Arial"/>
          <w:color w:val="222222"/>
          <w:kern w:val="0"/>
          <w:szCs w:val="24"/>
          <w:shd w:val="clear" w:color="auto" w:fill="FFFFFF"/>
          <w:lang w:bidi="ar"/>
        </w:rPr>
        <w:t>低碳智城”</w:t>
      </w:r>
      <w:bookmarkEnd w:id="26"/>
    </w:p>
    <w:p w14:paraId="51F1501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为科学合理指导金义站及周边地区规划建设，引领片区发展，经报市政府同意，金华市自然资源和规划局会同金义新区管委会组织编制了《金义新区（金东区）金义站单元控制性详细规划修改》（以下简称《控规》）。10月12日，金义新区（金东区）金义站单元控制性详细规划修改（草案）公告发布。图中可见预留磁悬浮线、轨道金义横线等。规划单元东至大路沈村，南至沪昆线，西至金山大道，北至新城路，总面积438.89公顷。围绕金义空铁枢纽，联动国际会展中心与金华中心医院新院区，打造“未来空铁枢纽，品质低碳智城”。</w:t>
      </w:r>
    </w:p>
    <w:p w14:paraId="1F53440D">
      <w:pPr>
        <w:pStyle w:val="2"/>
        <w:numPr>
          <w:ilvl w:val="0"/>
          <w:numId w:val="3"/>
        </w:numPr>
        <w:rPr>
          <w:rFonts w:hint="eastAsia" w:ascii="仿宋" w:hAnsi="仿宋" w:cs="Arial"/>
          <w:b w:val="0"/>
          <w:bCs w:val="0"/>
          <w:color w:val="222222"/>
          <w:kern w:val="0"/>
          <w:szCs w:val="24"/>
          <w:shd w:val="clear" w:color="auto" w:fill="FFFFFF"/>
          <w:lang w:bidi="ar"/>
        </w:rPr>
      </w:pPr>
      <w:bookmarkStart w:id="27" w:name="_Toc182576431"/>
      <w:r>
        <w:rPr>
          <w:rFonts w:hint="eastAsia" w:ascii="仿宋" w:hAnsi="仿宋" w:cs="Arial"/>
          <w:color w:val="222222"/>
          <w:kern w:val="0"/>
          <w:szCs w:val="24"/>
          <w:shd w:val="clear" w:color="auto" w:fill="FFFFFF"/>
          <w:lang w:bidi="ar"/>
        </w:rPr>
        <w:t>上海</w:t>
      </w:r>
      <w:r>
        <w:rPr>
          <w:rFonts w:hint="eastAsia" w:ascii="仿宋" w:hAnsi="仿宋" w:cs="Arial"/>
          <w:color w:val="222222"/>
          <w:shd w:val="clear" w:color="auto" w:fill="FFFFFF"/>
          <w:lang w:bidi="ar"/>
        </w:rPr>
        <w:t>宝山18号线通南路TOD项目规划曝光</w:t>
      </w:r>
      <w:bookmarkEnd w:id="27"/>
    </w:p>
    <w:p w14:paraId="6A965D13">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上海宝山18号线通南路TOD项目规划曝光，引入新</w:t>
      </w:r>
      <w:r>
        <w:rPr>
          <w:rFonts w:ascii="仿宋" w:hAnsi="仿宋" w:eastAsia="仿宋" w:cs="Arial"/>
          <w:color w:val="222222"/>
          <w:shd w:val="clear" w:color="auto" w:fill="FFFFFF"/>
          <w:lang w:bidi="ar"/>
        </w:rPr>
        <w:fldChar w:fldCharType="begin"/>
      </w:r>
      <w:r>
        <w:rPr>
          <w:rFonts w:ascii="仿宋" w:hAnsi="仿宋" w:eastAsia="仿宋" w:cs="Arial"/>
          <w:color w:val="222222"/>
          <w:shd w:val="clear" w:color="auto" w:fill="FFFFFF"/>
          <w:lang w:bidi="ar"/>
        </w:rPr>
        <w:instrText xml:space="preserve">HYPERLINK "https://baike.fang.com/item/%E4%BD%8F%E5%AE%85/1536254" \t "https://news.fang.com/open/_blank"</w:instrText>
      </w:r>
      <w:r>
        <w:rPr>
          <w:rFonts w:ascii="仿宋" w:hAnsi="仿宋" w:eastAsia="仿宋" w:cs="Arial"/>
          <w:color w:val="222222"/>
          <w:shd w:val="clear" w:color="auto" w:fill="FFFFFF"/>
          <w:lang w:bidi="ar"/>
        </w:rPr>
        <w:fldChar w:fldCharType="separate"/>
      </w:r>
      <w:r>
        <w:rPr>
          <w:rFonts w:hint="eastAsia" w:ascii="仿宋" w:hAnsi="仿宋" w:eastAsia="仿宋" w:cs="Arial"/>
          <w:color w:val="222222"/>
          <w:shd w:val="clear" w:color="auto" w:fill="FFFFFF"/>
          <w:lang w:bidi="ar"/>
        </w:rPr>
        <w:t>住宅</w:t>
      </w:r>
      <w:r>
        <w:rPr>
          <w:rFonts w:ascii="仿宋" w:hAnsi="仿宋" w:eastAsia="仿宋" w:cs="Arial"/>
          <w:color w:val="222222"/>
          <w:shd w:val="clear" w:color="auto" w:fill="FFFFFF"/>
          <w:lang w:bidi="ar"/>
        </w:rPr>
        <w:fldChar w:fldCharType="end"/>
      </w:r>
      <w:r>
        <w:rPr>
          <w:rFonts w:hint="eastAsia" w:ascii="仿宋" w:hAnsi="仿宋" w:eastAsia="仿宋" w:cs="Arial"/>
          <w:color w:val="222222"/>
          <w:shd w:val="clear" w:color="auto" w:fill="FFFFFF"/>
          <w:lang w:bidi="ar"/>
        </w:rPr>
        <w:t>和</w:t>
      </w:r>
      <w:r>
        <w:fldChar w:fldCharType="begin"/>
      </w:r>
      <w:r>
        <w:instrText xml:space="preserve"> HYPERLINK "https://baike.fang.com/item/%E5%95%86%E4%B8%9A%E7%94%A8%E5%9C%B0/2043411" \t "https://news.fang.com/open/_blank" </w:instrText>
      </w:r>
      <w:r>
        <w:fldChar w:fldCharType="separate"/>
      </w:r>
      <w:r>
        <w:rPr>
          <w:rFonts w:hint="eastAsia" w:ascii="仿宋" w:hAnsi="仿宋" w:eastAsia="仿宋" w:cs="Arial"/>
          <w:color w:val="222222"/>
          <w:shd w:val="clear" w:color="auto" w:fill="FFFFFF"/>
          <w:lang w:bidi="ar"/>
        </w:rPr>
        <w:t>商业用地</w:t>
      </w:r>
      <w:r>
        <w:rPr>
          <w:rFonts w:hint="eastAsia" w:ascii="仿宋" w:hAnsi="仿宋" w:eastAsia="仿宋" w:cs="Arial"/>
          <w:color w:val="222222"/>
          <w:shd w:val="clear" w:color="auto" w:fill="FFFFFF"/>
          <w:lang w:bidi="ar"/>
        </w:rPr>
        <w:fldChar w:fldCharType="end"/>
      </w:r>
      <w:r>
        <w:rPr>
          <w:rFonts w:hint="eastAsia" w:ascii="仿宋" w:hAnsi="仿宋" w:eastAsia="仿宋" w:cs="Arial"/>
          <w:color w:val="222222"/>
          <w:shd w:val="clear" w:color="auto" w:fill="FFFFFF"/>
          <w:lang w:bidi="ar"/>
        </w:rPr>
        <w:t>，将打造成高品质生活圈。项目紧邻轨交18号线站点，规划中容积率和用地性质经过调整，预计将于2025年初期运营。项目周边还有更多开发潜力</w:t>
      </w:r>
      <w:r>
        <w:rPr>
          <w:rFonts w:ascii="仿宋" w:hAnsi="仿宋" w:eastAsia="仿宋" w:cs="Arial"/>
          <w:color w:val="222222"/>
          <w:shd w:val="clear" w:color="auto" w:fill="FFFFFF"/>
          <w:lang w:bidi="ar"/>
        </w:rPr>
        <w:fldChar w:fldCharType="begin"/>
      </w:r>
      <w:r>
        <w:rPr>
          <w:rFonts w:ascii="仿宋" w:hAnsi="仿宋" w:eastAsia="仿宋" w:cs="Arial"/>
          <w:color w:val="222222"/>
          <w:shd w:val="clear" w:color="auto" w:fill="FFFFFF"/>
          <w:lang w:bidi="ar"/>
        </w:rPr>
        <w:instrText xml:space="preserve">HYPERLINK "https://baike.fang.com/item/%E5%9C%B0%E5%9D%97/12190575" \t "https://news.fang.com/open/_blank"</w:instrText>
      </w:r>
      <w:r>
        <w:rPr>
          <w:rFonts w:ascii="仿宋" w:hAnsi="仿宋" w:eastAsia="仿宋" w:cs="Arial"/>
          <w:color w:val="222222"/>
          <w:shd w:val="clear" w:color="auto" w:fill="FFFFFF"/>
          <w:lang w:bidi="ar"/>
        </w:rPr>
        <w:fldChar w:fldCharType="separate"/>
      </w:r>
      <w:r>
        <w:rPr>
          <w:rFonts w:hint="eastAsia" w:ascii="仿宋" w:hAnsi="仿宋" w:eastAsia="仿宋" w:cs="Arial"/>
          <w:color w:val="222222"/>
          <w:shd w:val="clear" w:color="auto" w:fill="FFFFFF"/>
          <w:lang w:bidi="ar"/>
        </w:rPr>
        <w:t>地块</w:t>
      </w:r>
      <w:r>
        <w:rPr>
          <w:rFonts w:ascii="仿宋" w:hAnsi="仿宋" w:eastAsia="仿宋" w:cs="Arial"/>
          <w:color w:val="222222"/>
          <w:shd w:val="clear" w:color="auto" w:fill="FFFFFF"/>
          <w:lang w:bidi="ar"/>
        </w:rPr>
        <w:fldChar w:fldCharType="end"/>
      </w:r>
      <w:r>
        <w:rPr>
          <w:rFonts w:hint="eastAsia" w:ascii="仿宋" w:hAnsi="仿宋" w:eastAsia="仿宋" w:cs="Arial"/>
          <w:color w:val="222222"/>
          <w:shd w:val="clear" w:color="auto" w:fill="FFFFFF"/>
          <w:lang w:bidi="ar"/>
        </w:rPr>
        <w:t>，未来优质住宅供应有望大增。根据规划，D1-04</w:t>
      </w:r>
      <w:r>
        <w:fldChar w:fldCharType="begin"/>
      </w:r>
      <w:r>
        <w:instrText xml:space="preserve"> HYPERLINK "https://baike.fang.com/item/%E5%9C%B0%E5%9D%97/12190575" \t "https://news.fang.com/open/_blank" </w:instrText>
      </w:r>
      <w:r>
        <w:fldChar w:fldCharType="separate"/>
      </w:r>
      <w:r>
        <w:rPr>
          <w:rFonts w:hint="eastAsia" w:ascii="仿宋" w:hAnsi="仿宋" w:eastAsia="仿宋" w:cs="Arial"/>
          <w:color w:val="222222"/>
          <w:shd w:val="clear" w:color="auto" w:fill="FFFFFF"/>
          <w:lang w:bidi="ar"/>
        </w:rPr>
        <w:t>地块</w:t>
      </w:r>
      <w:r>
        <w:rPr>
          <w:rFonts w:hint="eastAsia" w:ascii="仿宋" w:hAnsi="仿宋" w:eastAsia="仿宋" w:cs="Arial"/>
          <w:color w:val="222222"/>
          <w:shd w:val="clear" w:color="auto" w:fill="FFFFFF"/>
          <w:lang w:bidi="ar"/>
        </w:rPr>
        <w:fldChar w:fldCharType="end"/>
      </w:r>
      <w:r>
        <w:rPr>
          <w:rFonts w:hint="eastAsia" w:ascii="仿宋" w:hAnsi="仿宋" w:eastAsia="仿宋" w:cs="Arial"/>
          <w:color w:val="222222"/>
          <w:shd w:val="clear" w:color="auto" w:fill="FFFFFF"/>
          <w:lang w:bidi="ar"/>
        </w:rPr>
        <w:t>将变为三类住宅组团用地，而K1-03地块则调整为住宅商业混合用地，整体容积率有所下调，商住比例更为合理。通南路站的TOD项目位于长</w:t>
      </w:r>
      <w:r>
        <w:rPr>
          <w:rFonts w:ascii="仿宋" w:hAnsi="仿宋" w:eastAsia="仿宋" w:cs="Arial"/>
          <w:color w:val="222222"/>
          <w:shd w:val="clear" w:color="auto" w:fill="FFFFFF"/>
          <w:lang w:bidi="ar"/>
        </w:rPr>
        <w:fldChar w:fldCharType="begin"/>
      </w:r>
      <w:r>
        <w:rPr>
          <w:rFonts w:ascii="仿宋" w:hAnsi="仿宋" w:eastAsia="仿宋" w:cs="Arial"/>
          <w:color w:val="222222"/>
          <w:shd w:val="clear" w:color="auto" w:fill="FFFFFF"/>
          <w:lang w:bidi="ar"/>
        </w:rPr>
        <w:instrText xml:space="preserve">HYPERLINK "https://baike.fang.com/item/%E6%B1%9F%E5%8D%97/108488" \t "https://news.fang.com/open/_blank"</w:instrText>
      </w:r>
      <w:r>
        <w:rPr>
          <w:rFonts w:ascii="仿宋" w:hAnsi="仿宋" w:eastAsia="仿宋" w:cs="Arial"/>
          <w:color w:val="222222"/>
          <w:shd w:val="clear" w:color="auto" w:fill="FFFFFF"/>
          <w:lang w:bidi="ar"/>
        </w:rPr>
        <w:fldChar w:fldCharType="separate"/>
      </w:r>
      <w:r>
        <w:rPr>
          <w:rFonts w:hint="eastAsia" w:ascii="仿宋" w:hAnsi="仿宋" w:eastAsia="仿宋" w:cs="Arial"/>
          <w:color w:val="222222"/>
          <w:shd w:val="clear" w:color="auto" w:fill="FFFFFF"/>
          <w:lang w:bidi="ar"/>
        </w:rPr>
        <w:t>江南</w:t>
      </w:r>
      <w:r>
        <w:rPr>
          <w:rFonts w:ascii="仿宋" w:hAnsi="仿宋" w:eastAsia="仿宋" w:cs="Arial"/>
          <w:color w:val="222222"/>
          <w:shd w:val="clear" w:color="auto" w:fill="FFFFFF"/>
          <w:lang w:bidi="ar"/>
        </w:rPr>
        <w:fldChar w:fldCharType="end"/>
      </w:r>
      <w:r>
        <w:rPr>
          <w:rFonts w:hint="eastAsia" w:ascii="仿宋" w:hAnsi="仿宋" w:eastAsia="仿宋" w:cs="Arial"/>
          <w:color w:val="222222"/>
          <w:shd w:val="clear" w:color="auto" w:fill="FFFFFF"/>
          <w:lang w:bidi="ar"/>
        </w:rPr>
        <w:t>路和通南路交汇处，原本是世纪联华的地块，现在预计会有地铁直达，便利性十足。项目计划于2025年底开始初期运营，到时轨道交通</w:t>
      </w:r>
      <w:r>
        <w:rPr>
          <w:rFonts w:ascii="仿宋" w:hAnsi="仿宋" w:eastAsia="仿宋" w:cs="Arial"/>
          <w:color w:val="222222"/>
          <w:shd w:val="clear" w:color="auto" w:fill="FFFFFF"/>
          <w:lang w:bidi="ar"/>
        </w:rPr>
        <w:fldChar w:fldCharType="begin"/>
      </w:r>
      <w:r>
        <w:rPr>
          <w:rFonts w:ascii="仿宋" w:hAnsi="仿宋" w:eastAsia="仿宋" w:cs="Arial"/>
          <w:color w:val="222222"/>
          <w:shd w:val="clear" w:color="auto" w:fill="FFFFFF"/>
          <w:lang w:bidi="ar"/>
        </w:rPr>
        <w:instrText xml:space="preserve">HYPERLINK "https://baike.fang.com/item/%E9%85%8D%E5%A5%97/2043375" \t "https://news.fang.com/open/_blank"</w:instrText>
      </w:r>
      <w:r>
        <w:rPr>
          <w:rFonts w:ascii="仿宋" w:hAnsi="仿宋" w:eastAsia="仿宋" w:cs="Arial"/>
          <w:color w:val="222222"/>
          <w:shd w:val="clear" w:color="auto" w:fill="FFFFFF"/>
          <w:lang w:bidi="ar"/>
        </w:rPr>
        <w:fldChar w:fldCharType="separate"/>
      </w:r>
      <w:r>
        <w:rPr>
          <w:rFonts w:hint="eastAsia" w:ascii="仿宋" w:hAnsi="仿宋" w:eastAsia="仿宋" w:cs="Arial"/>
          <w:color w:val="222222"/>
          <w:shd w:val="clear" w:color="auto" w:fill="FFFFFF"/>
          <w:lang w:bidi="ar"/>
        </w:rPr>
        <w:t>配套</w:t>
      </w:r>
      <w:r>
        <w:rPr>
          <w:rFonts w:ascii="仿宋" w:hAnsi="仿宋" w:eastAsia="仿宋" w:cs="Arial"/>
          <w:color w:val="222222"/>
          <w:shd w:val="clear" w:color="auto" w:fill="FFFFFF"/>
          <w:lang w:bidi="ar"/>
        </w:rPr>
        <w:fldChar w:fldCharType="end"/>
      </w:r>
      <w:r>
        <w:rPr>
          <w:rFonts w:hint="eastAsia" w:ascii="仿宋" w:hAnsi="仿宋" w:eastAsia="仿宋" w:cs="Arial"/>
          <w:color w:val="222222"/>
          <w:shd w:val="clear" w:color="auto" w:fill="FFFFFF"/>
          <w:lang w:bidi="ar"/>
        </w:rPr>
        <w:t>已经完善，四站就能到达复旦大学，半小时内可以到陆家嘴。</w:t>
      </w:r>
    </w:p>
    <w:p w14:paraId="5E50C808">
      <w:pPr>
        <w:pStyle w:val="2"/>
        <w:numPr>
          <w:ilvl w:val="0"/>
          <w:numId w:val="3"/>
        </w:numPr>
        <w:rPr>
          <w:rFonts w:hint="eastAsia" w:ascii="仿宋" w:hAnsi="仿宋" w:cs="Arial"/>
          <w:color w:val="222222"/>
          <w:kern w:val="0"/>
          <w:szCs w:val="24"/>
          <w:shd w:val="clear" w:color="auto" w:fill="FFFFFF"/>
          <w:lang w:bidi="ar"/>
        </w:rPr>
      </w:pPr>
      <w:bookmarkStart w:id="28" w:name="_Toc182576432"/>
      <w:r>
        <w:rPr>
          <w:rFonts w:hint="eastAsia" w:ascii="仿宋" w:hAnsi="仿宋" w:cs="Arial"/>
          <w:color w:val="222222"/>
          <w:kern w:val="0"/>
          <w:szCs w:val="24"/>
          <w:shd w:val="clear" w:color="auto" w:fill="FFFFFF"/>
          <w:lang w:bidi="ar"/>
        </w:rPr>
        <w:t>9月城市轨道交通客运量同比</w:t>
      </w:r>
      <w:r>
        <w:rPr>
          <w:rFonts w:hint="eastAsia" w:ascii="仿宋" w:hAnsi="仿宋" w:cs="Arial"/>
          <w:color w:val="000000" w:themeColor="text1"/>
          <w:szCs w:val="28"/>
          <w:shd w:val="clear" w:color="auto" w:fill="FFFFFF"/>
          <w14:textFill>
            <w14:solidFill>
              <w14:schemeClr w14:val="tx1"/>
            </w14:solidFill>
          </w14:textFill>
        </w:rPr>
        <w:t>增加</w:t>
      </w:r>
      <w:r>
        <w:rPr>
          <w:rFonts w:hint="eastAsia" w:ascii="仿宋" w:hAnsi="仿宋" w:cs="Arial"/>
          <w:color w:val="222222"/>
          <w:kern w:val="0"/>
          <w:szCs w:val="24"/>
          <w:shd w:val="clear" w:color="auto" w:fill="FFFFFF"/>
          <w:lang w:bidi="ar"/>
        </w:rPr>
        <w:t>1亿人次</w:t>
      </w:r>
      <w:bookmarkEnd w:id="28"/>
    </w:p>
    <w:p w14:paraId="5C16D111">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据交通运输部官微消息，2024年9月，31个省（自治区、直辖市）和新疆生产建设兵团共有54个城市开通运营城市轨道交通线路313条，运营里程10440.5公里，实际开行列车342万列次，完成客运量25.8亿人次，进站量15.4亿人次。9月份，客运量环比减少2.3亿人次，降低8.2%，同比增加1亿人次，增长4%。9月份全国总运营里程的平均客运强度为0.826万人次每公里日，环比降低7.6%，同比降低1.6%。</w:t>
      </w:r>
    </w:p>
    <w:p w14:paraId="725F642C">
      <w:pPr>
        <w:pStyle w:val="2"/>
        <w:numPr>
          <w:ilvl w:val="0"/>
          <w:numId w:val="3"/>
        </w:numPr>
        <w:rPr>
          <w:rFonts w:hint="eastAsia" w:ascii="仿宋" w:hAnsi="仿宋" w:cs="Arial"/>
          <w:color w:val="222222"/>
          <w:kern w:val="0"/>
          <w:szCs w:val="24"/>
          <w:shd w:val="clear" w:color="auto" w:fill="FFFFFF"/>
          <w:lang w:bidi="ar"/>
        </w:rPr>
      </w:pPr>
      <w:bookmarkStart w:id="29" w:name="_Toc182576433"/>
      <w:r>
        <w:rPr>
          <w:rFonts w:hint="eastAsia" w:ascii="仿宋" w:hAnsi="仿宋" w:cs="Arial"/>
          <w:color w:val="222222"/>
          <w:kern w:val="0"/>
          <w:szCs w:val="24"/>
          <w:shd w:val="clear" w:color="auto" w:fill="FFFFFF"/>
          <w:lang w:bidi="ar"/>
        </w:rPr>
        <w:t>高铁杭州临平</w:t>
      </w:r>
      <w:r>
        <w:rPr>
          <w:rFonts w:hint="eastAsia" w:ascii="仿宋" w:hAnsi="仿宋" w:cs="Arial"/>
          <w:color w:val="000000" w:themeColor="text1"/>
          <w:szCs w:val="28"/>
          <w:shd w:val="clear" w:color="auto" w:fill="FFFFFF"/>
          <w14:textFill>
            <w14:solidFill>
              <w14:schemeClr w14:val="tx1"/>
            </w14:solidFill>
          </w14:textFill>
        </w:rPr>
        <w:t>北站</w:t>
      </w:r>
      <w:r>
        <w:rPr>
          <w:rFonts w:hint="eastAsia" w:ascii="仿宋" w:hAnsi="仿宋" w:cs="Arial"/>
          <w:color w:val="222222"/>
          <w:kern w:val="0"/>
          <w:szCs w:val="24"/>
          <w:shd w:val="clear" w:color="auto" w:fill="FFFFFF"/>
          <w:lang w:bidi="ar"/>
        </w:rPr>
        <w:t>设计方案出炉</w:t>
      </w:r>
      <w:bookmarkEnd w:id="29"/>
    </w:p>
    <w:p w14:paraId="7FD3D1B7">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近日杭州临平北枢纽核心板块城市设计国际方案出炉。</w:t>
      </w:r>
      <w:r>
        <w:rPr>
          <w:rFonts w:ascii="仿宋" w:hAnsi="仿宋" w:eastAsia="仿宋" w:cs="Arial"/>
          <w:color w:val="222222"/>
          <w:shd w:val="clear" w:color="auto" w:fill="FFFFFF"/>
          <w:lang w:bidi="ar"/>
        </w:rPr>
        <w:t>临平北枢纽核心区主要概念建筑设计范围是围绕临平北站在内的一体化设计区域，面积约1.2平方公里。临平北枢纽核心区将围绕高铁枢纽集聚企业总部、科创孵化园区、科技创新转化基地等，打造一个面向长三角、服务开发区的未来产业社区。同时，核心区还将打造绿色、高效、现代化、高品质的城市生活空间。通过“高线云廊”步行网络的建设，临平将串联起高铁站、地铁龙安站和规划中的地铁18号线临平北站，打造开放活力的生态绿环，而临平南部的“东湖绿洲”，依托龙安湖公园，将成为城市的文体活动中心、时尚生活中心，为居民提供丰富的休闲选择。</w:t>
      </w:r>
    </w:p>
    <w:p w14:paraId="32B2806E">
      <w:pPr>
        <w:pStyle w:val="2"/>
        <w:numPr>
          <w:ilvl w:val="0"/>
          <w:numId w:val="3"/>
        </w:numPr>
        <w:rPr>
          <w:rFonts w:hint="eastAsia" w:ascii="仿宋" w:hAnsi="仿宋" w:cs="Arial"/>
          <w:color w:val="222222"/>
          <w:kern w:val="0"/>
          <w:szCs w:val="24"/>
          <w:shd w:val="clear" w:color="auto" w:fill="FFFFFF"/>
          <w:lang w:bidi="ar"/>
        </w:rPr>
      </w:pPr>
      <w:bookmarkStart w:id="30" w:name="_Toc182576434"/>
      <w:r>
        <w:rPr>
          <w:rFonts w:hint="eastAsia" w:ascii="仿宋" w:hAnsi="仿宋" w:cs="Arial"/>
          <w:color w:val="222222"/>
          <w:kern w:val="0"/>
          <w:szCs w:val="24"/>
          <w:shd w:val="clear" w:color="auto" w:fill="FFFFFF"/>
          <w:lang w:bidi="ar"/>
        </w:rPr>
        <w:t>北京西站拟建公园型交通枢纽示范区</w:t>
      </w:r>
      <w:bookmarkEnd w:id="30"/>
    </w:p>
    <w:p w14:paraId="2F206A1F">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14日从市规划自然资源委丰台分局获悉，《北京丰台区太平桥地区FT00-0604、0608~0613、2402、2403街区控制性详细规划（街区层面）（2022年—2035年）》草案近日在丰台区政府网站公示。该区域拟定位为首都金融新名片、绿色枢纽新空间、活力宜居新场景及文化传承新标杆，其中北京西站拟建设成为公园型交通枢纽示范区。此次规划范围北至莲花池东路，南至京沪铁路，东至西二环路及京开高速路，西至西三环，总用地面积约9.39平方公里，共包括9个街区。根据规划草案，该区域将打造“双核、两带、三区、多园”的空间结构。其中，“双核”为丽泽城市航站楼、北京西站，丰台区将高质量建设丽泽城市航站楼及周边站城一体化核心空间，拟将北京西站建设成为公园型交通枢纽示范区、高品质首都特色门户区。</w:t>
      </w:r>
    </w:p>
    <w:p w14:paraId="35563B79">
      <w:pPr>
        <w:pStyle w:val="2"/>
        <w:numPr>
          <w:ilvl w:val="0"/>
          <w:numId w:val="3"/>
        </w:numPr>
        <w:rPr>
          <w:rFonts w:hint="eastAsia" w:ascii="仿宋" w:hAnsi="仿宋" w:cs="Arial"/>
          <w:color w:val="222222"/>
          <w:kern w:val="0"/>
          <w:szCs w:val="24"/>
          <w:shd w:val="clear" w:color="auto" w:fill="FFFFFF"/>
          <w:lang w:bidi="ar"/>
        </w:rPr>
      </w:pPr>
      <w:bookmarkStart w:id="31" w:name="_Toc182576435"/>
      <w:r>
        <w:rPr>
          <w:rFonts w:hint="eastAsia" w:ascii="仿宋" w:hAnsi="仿宋" w:cs="Arial"/>
          <w:color w:val="222222"/>
          <w:kern w:val="0"/>
          <w:szCs w:val="24"/>
          <w:shd w:val="clear" w:color="auto" w:fill="FFFFFF"/>
          <w:lang w:bidi="ar"/>
        </w:rPr>
        <w:t>深圳五和项目开展计划立项及更新意愿草案公示</w:t>
      </w:r>
      <w:bookmarkEnd w:id="31"/>
    </w:p>
    <w:p w14:paraId="52CEDFA9">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16日，《龙岗区坂田街道五和枢纽片区重点城市更新单元计划（草案）》和《龙岗区坂田街道五和枢纽片区重点城市更新单元更新意愿》均在政府网站和深圳商报进行公示，标志着五和项目计划立项工作取得关键成果。五和项目因枢纽征拆而生，属于市、区两级政府高度关注和重视的项目，作为龙岗区第二批平方公里级重点项目，研究范围面积约240公顷，拟申报拆除范围用地面积442435㎡。五和枢纽片区将依托以城际枢纽站点，通过构建地下-地面-地上多层次的立体慢行体系，衔接轨道站点与城市、人与产业、都市与人文，打造生产、生态、生活融合共生的无界和谐枢纽站城。片区拟打造“超级枢纽之城+科技交流窗口+产城融合典范+绿色生态之城”“集交通、科技、产城、生态于一体的龙岗新地标”，构建“五和枢纽美好生活”。</w:t>
      </w:r>
    </w:p>
    <w:p w14:paraId="619447DB">
      <w:pPr>
        <w:pStyle w:val="2"/>
        <w:numPr>
          <w:ilvl w:val="0"/>
          <w:numId w:val="3"/>
        </w:numPr>
        <w:rPr>
          <w:rFonts w:hint="eastAsia" w:ascii="仿宋" w:hAnsi="仿宋" w:cs="Arial"/>
          <w:color w:val="222222"/>
          <w:kern w:val="0"/>
          <w:szCs w:val="24"/>
          <w:shd w:val="clear" w:color="auto" w:fill="FFFFFF"/>
          <w:lang w:bidi="ar"/>
        </w:rPr>
      </w:pPr>
      <w:bookmarkStart w:id="32" w:name="_Toc182576436"/>
      <w:r>
        <w:rPr>
          <w:rFonts w:hint="eastAsia" w:ascii="仿宋" w:hAnsi="仿宋" w:cs="Arial"/>
          <w:color w:val="000000" w:themeColor="text1"/>
          <w:szCs w:val="28"/>
          <w:shd w:val="clear" w:color="auto" w:fill="FFFFFF"/>
          <w14:textFill>
            <w14:solidFill>
              <w14:schemeClr w14:val="tx1"/>
            </w14:solidFill>
          </w14:textFill>
        </w:rPr>
        <w:t>《2024年度中国主要城市通勤监测报告》</w:t>
      </w:r>
      <w:r>
        <w:rPr>
          <w:rFonts w:hint="eastAsia" w:ascii="仿宋" w:hAnsi="仿宋" w:cs="Arial"/>
          <w:color w:val="222222"/>
          <w:kern w:val="0"/>
          <w:szCs w:val="24"/>
          <w:shd w:val="clear" w:color="auto" w:fill="FFFFFF"/>
          <w:lang w:bidi="ar"/>
        </w:rPr>
        <w:t>发布</w:t>
      </w:r>
      <w:bookmarkEnd w:id="32"/>
    </w:p>
    <w:p w14:paraId="3458AB73">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17日，中国城市规划设计研究院与百度地图联合发布“中规智库”成果《2024年中国主要城市通勤监测报告》（以下简称“报告”）。报告选取45个中国主要城市，延续通勤时间、通勤空间、通勤交通三个方面的9项指标，揭示了2023年中国城市通勤的三个特征变化：一是幸福通勤回归，慢行交通需求增加；二是极端通勤改善，超长通勤仍需关注；三是城市空间拓展，轨道覆盖边际递减。报告显示，2023年中国主要城市5公里以内幸福通勤人口比重52%，同比提高2个百分点。连续3年幸福通勤全线下降趋势发生转变，42个城市幸福通勤由降转升，其中深圳、广州、长沙、武汉等11个城市已经达到2019年以来的最高水平。</w:t>
      </w:r>
    </w:p>
    <w:p w14:paraId="4A9939A0">
      <w:pPr>
        <w:pStyle w:val="2"/>
        <w:numPr>
          <w:ilvl w:val="0"/>
          <w:numId w:val="3"/>
        </w:numPr>
        <w:rPr>
          <w:rFonts w:hint="eastAsia" w:ascii="仿宋" w:hAnsi="仿宋" w:cs="Arial"/>
          <w:color w:val="222222"/>
          <w:kern w:val="0"/>
          <w:szCs w:val="24"/>
          <w:shd w:val="clear" w:color="auto" w:fill="FFFFFF"/>
          <w:lang w:bidi="ar"/>
        </w:rPr>
      </w:pPr>
      <w:bookmarkStart w:id="33" w:name="_Toc182576437"/>
      <w:r>
        <w:rPr>
          <w:rFonts w:hint="eastAsia" w:ascii="仿宋" w:hAnsi="仿宋" w:cs="Arial"/>
          <w:color w:val="222222"/>
          <w:kern w:val="0"/>
          <w:szCs w:val="24"/>
          <w:shd w:val="clear" w:color="auto" w:fill="FFFFFF"/>
          <w:lang w:bidi="ar"/>
        </w:rPr>
        <w:t>到2027年重庆轨道交通运营里程将突破700公里</w:t>
      </w:r>
      <w:bookmarkEnd w:id="33"/>
    </w:p>
    <w:p w14:paraId="25C8EE9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在10月18日举行的第七届山水城市可持续发展国际论坛上，重庆交通开投集团党委书记、董事长石继东表示，预计至2027年，重庆公共交通出行分担率将达到60%，其中轨道交通运营里程有望突破700公里，轨道客运强度达到每公里每天1万人次。“十五五”期间，重庆市将加快实施轨道交通“1000+”成网计划，将新落地轨道交通第五期建设规划约200公里，持续在站城一体融合发展、多式联运、四网融合等方面深耕细作，努力让出行更加畅通、更加便捷、更加舒心。</w:t>
      </w:r>
    </w:p>
    <w:p w14:paraId="1D71B352">
      <w:pPr>
        <w:pStyle w:val="2"/>
        <w:numPr>
          <w:ilvl w:val="0"/>
          <w:numId w:val="3"/>
        </w:numPr>
        <w:rPr>
          <w:rFonts w:hint="eastAsia" w:ascii="仿宋" w:hAnsi="仿宋" w:cs="Arial"/>
          <w:color w:val="222222"/>
          <w:kern w:val="0"/>
          <w:szCs w:val="24"/>
          <w:shd w:val="clear" w:color="auto" w:fill="FFFFFF"/>
          <w:lang w:bidi="ar"/>
        </w:rPr>
      </w:pPr>
      <w:bookmarkStart w:id="34" w:name="_Toc182576438"/>
      <w:r>
        <w:rPr>
          <w:rFonts w:hint="eastAsia" w:ascii="仿宋" w:hAnsi="仿宋" w:cs="Arial"/>
          <w:color w:val="222222"/>
          <w:kern w:val="0"/>
          <w:szCs w:val="24"/>
          <w:shd w:val="clear" w:color="auto" w:fill="FFFFFF"/>
          <w:lang w:bidi="ar"/>
        </w:rPr>
        <w:t>上海基本建成枢纽型、功能性、网络化综合交通体系</w:t>
      </w:r>
      <w:bookmarkEnd w:id="34"/>
    </w:p>
    <w:p w14:paraId="1965ACCF">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21日，上海市政府新闻办组织的“我们的人民城市”专题采访活动，走访了市域铁路机场联络线虹桥2号航站楼站。上海市交通委综合规划处四级调研员黄欣在介绍上海交通建设高质量发展及未来规划情况时透露，上海综合交通网络规模、运输能力、设施品质和服务水平总体处于国内超大城市领先，部分达到世界前列水平。</w:t>
      </w:r>
      <w:r>
        <w:rPr>
          <w:rFonts w:hint="eastAsia" w:ascii="仿宋" w:hAnsi="仿宋" w:eastAsia="仿宋" w:cs="Arial"/>
          <w:color w:val="222222"/>
          <w:shd w:val="clear" w:color="auto" w:fill="FFFFFF"/>
          <w:lang w:bidi="ar"/>
        </w:rPr>
        <w:t>在全力打造多层级综合交通枢纽规划布局方面，开工建设东方枢纽上海东站，加快推进上海松江站、宝山站等辅助客站规划建设。持续扩大轨道交通网络规模和服务范围，14号线、15号线、18号线一期开通运营，2023年全网络运营线路20条，总里程超过830公里；开工建设轨道交通19号线、20号线等。</w:t>
      </w:r>
    </w:p>
    <w:p w14:paraId="663E2FDE">
      <w:pPr>
        <w:pStyle w:val="2"/>
        <w:numPr>
          <w:ilvl w:val="0"/>
          <w:numId w:val="3"/>
        </w:numPr>
        <w:rPr>
          <w:rFonts w:hint="eastAsia" w:ascii="仿宋" w:hAnsi="仿宋" w:cs="Arial"/>
          <w:color w:val="222222"/>
          <w:kern w:val="0"/>
          <w:szCs w:val="24"/>
          <w:shd w:val="clear" w:color="auto" w:fill="FFFFFF"/>
          <w:lang w:bidi="ar"/>
        </w:rPr>
      </w:pPr>
      <w:bookmarkStart w:id="35" w:name="_Toc182576439"/>
      <w:r>
        <w:rPr>
          <w:rFonts w:hint="eastAsia" w:ascii="仿宋" w:hAnsi="仿宋" w:cs="Arial"/>
          <w:color w:val="222222"/>
          <w:kern w:val="0"/>
          <w:szCs w:val="24"/>
          <w:shd w:val="clear" w:color="auto" w:fill="FFFFFF"/>
          <w:lang w:bidi="ar"/>
        </w:rPr>
        <w:t>武汉市东湖新城</w:t>
      </w:r>
      <w:r>
        <w:rPr>
          <w:rFonts w:hint="eastAsia" w:ascii="仿宋" w:hAnsi="仿宋" w:cs="Arial"/>
          <w:color w:val="000000" w:themeColor="text1"/>
          <w:szCs w:val="28"/>
          <w:shd w:val="clear" w:color="auto" w:fill="FFFFFF"/>
          <w14:textFill>
            <w14:solidFill>
              <w14:schemeClr w14:val="tx1"/>
            </w14:solidFill>
          </w14:textFill>
        </w:rPr>
        <w:t>TOD</w:t>
      </w:r>
      <w:r>
        <w:rPr>
          <w:rFonts w:hint="eastAsia" w:ascii="仿宋" w:hAnsi="仿宋" w:cs="Arial"/>
          <w:color w:val="222222"/>
          <w:kern w:val="0"/>
          <w:szCs w:val="24"/>
          <w:shd w:val="clear" w:color="auto" w:fill="FFFFFF"/>
          <w:lang w:bidi="ar"/>
        </w:rPr>
        <w:t>地块控制性详细规划导则修改公示</w:t>
      </w:r>
      <w:bookmarkEnd w:id="35"/>
    </w:p>
    <w:p w14:paraId="16895B2D">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21日，武汉市主城区A150404管理单元（毛坦村K5地块）控制性详细规划导则修改公示。根据洪山区人民政府申请，拟对其辖区内A150404管理单元（毛坦村K5地块）控制性详细规划导则进行规划修改。现根据住房和城乡建设部《城市、镇控制性详细规划编制审批办法》和《武汉市控制性详细规划管理规定》等相关规定，将主城区A150404管理单元控制性详细规划导则（毛坦村K5地块）修改内容进行公示，具体内容如下：将1.30公顷商业用地、1.25公顷娱乐用地变更为商业、商务用地、二类居住用地和公园绿地。变更后，商业用地调减约1.30公顷，娱乐用地调减约1.25公顷，商业、商务用地调增约0.62公顷，二类居住用地调增约1.78公顷，公园绿地调增约0.15公顷；项目用地东侧新增一条南北向10米宽公共通道，连接白沙三路和烽清路。</w:t>
      </w:r>
    </w:p>
    <w:p w14:paraId="034EA5E1">
      <w:pPr>
        <w:pStyle w:val="2"/>
        <w:numPr>
          <w:ilvl w:val="0"/>
          <w:numId w:val="3"/>
        </w:numPr>
        <w:rPr>
          <w:rFonts w:hint="eastAsia" w:ascii="仿宋" w:hAnsi="仿宋" w:cs="Arial"/>
          <w:color w:val="222222"/>
          <w:kern w:val="0"/>
          <w:szCs w:val="24"/>
          <w:shd w:val="clear" w:color="auto" w:fill="FFFFFF"/>
          <w:lang w:bidi="ar"/>
        </w:rPr>
      </w:pPr>
      <w:bookmarkStart w:id="36" w:name="_Toc182576440"/>
      <w:r>
        <w:rPr>
          <w:rFonts w:hint="eastAsia" w:ascii="仿宋" w:hAnsi="仿宋" w:cs="Arial"/>
          <w:color w:val="222222"/>
          <w:kern w:val="0"/>
          <w:szCs w:val="24"/>
          <w:shd w:val="clear" w:color="auto" w:fill="FFFFFF"/>
          <w:lang w:bidi="ar"/>
        </w:rPr>
        <w:t>《嘉兴高铁新城地下空间专项规划》批前公告</w:t>
      </w:r>
      <w:bookmarkEnd w:id="36"/>
    </w:p>
    <w:p w14:paraId="4C437FB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21日，《嘉兴高铁新城地下空间专项规划》批前公告正式公开。该项规划将为引导嘉兴高铁新城地下空间合理有序开发奠定基础，促进站前区域立体复合利用，实现城市高质量发展目标。本次地下空间规划依托高铁南站核心枢纽，以及地面城市设计主要轴线和重点片区，提出“一轴、三心、多点”的地下空间总体结构引导。一轴为地下空间立体复合发展的主轴线，与城市南北发展轴相呼应，串联秦湖CBD、高铁站场、余新创新中心等重要空间。三心为高铁枢纽站城一体、秦湖CBD、余新创新中心三大城市立体发展核心，通过地下空间充分利用助推地面空间高品质发展；多点为结合轨道站点建设形成的多个TOD发展节点。</w:t>
      </w:r>
    </w:p>
    <w:p w14:paraId="6C36466D">
      <w:pPr>
        <w:pStyle w:val="2"/>
        <w:numPr>
          <w:ilvl w:val="0"/>
          <w:numId w:val="3"/>
        </w:numPr>
        <w:rPr>
          <w:rFonts w:hint="eastAsia" w:ascii="仿宋" w:hAnsi="仿宋" w:cs="Arial"/>
          <w:color w:val="222222"/>
          <w:kern w:val="0"/>
          <w:szCs w:val="24"/>
          <w:shd w:val="clear" w:color="auto" w:fill="FFFFFF"/>
          <w:lang w:bidi="ar"/>
        </w:rPr>
      </w:pPr>
      <w:bookmarkStart w:id="37" w:name="_Toc182576441"/>
      <w:r>
        <w:rPr>
          <w:rFonts w:hint="eastAsia" w:ascii="仿宋" w:hAnsi="仿宋" w:cs="Arial"/>
          <w:color w:val="222222"/>
          <w:kern w:val="0"/>
          <w:szCs w:val="24"/>
          <w:shd w:val="clear" w:color="auto" w:fill="FFFFFF"/>
          <w:lang w:bidi="ar"/>
        </w:rPr>
        <w:t>济源市政府与河南铁建投集团签订呼南高铁焦济洛平段（济源）土地综合开发实施协议</w:t>
      </w:r>
      <w:bookmarkEnd w:id="37"/>
    </w:p>
    <w:p w14:paraId="7938ADD8">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23日，济源市政府与河南铁建投集团签订呼南高铁焦济洛平段（济源）土地综合开发实施协议，共同推进呼南高铁焦济洛平段（济源）项目建设和济源高铁片区综合开发。河南铁建投集团是省管国有重要骨干企业，以铁路及关联产业投资运营、土地及房地产综合开发为主业，以铁路相关物流贸易为培育业务，曾投资建设京广、郑徐、济郑等25个铁路项目，总建设里程超4000公里，在推进河南省米字形高铁网建设中发挥了重大作用。目前，该集团与济源合资成立河南铁建投济源综合开发有限公司，共同推动呼南高铁焦济洛平段（济源）及高铁片区综合开发有关项目实施。</w:t>
      </w:r>
    </w:p>
    <w:p w14:paraId="30C853FD">
      <w:pPr>
        <w:pStyle w:val="2"/>
        <w:numPr>
          <w:ilvl w:val="0"/>
          <w:numId w:val="3"/>
        </w:numPr>
        <w:rPr>
          <w:rFonts w:hint="eastAsia" w:ascii="仿宋" w:hAnsi="仿宋" w:cs="Arial"/>
          <w:b w:val="0"/>
          <w:bCs w:val="0"/>
          <w:color w:val="222222"/>
          <w:kern w:val="0"/>
          <w:szCs w:val="24"/>
          <w:shd w:val="clear" w:color="auto" w:fill="FFFFFF"/>
          <w:lang w:bidi="ar"/>
        </w:rPr>
      </w:pPr>
      <w:bookmarkStart w:id="38" w:name="_Toc182576442"/>
      <w:r>
        <w:rPr>
          <w:rFonts w:ascii="仿宋" w:hAnsi="仿宋" w:cs="Arial"/>
          <w:color w:val="000000" w:themeColor="text1"/>
          <w:szCs w:val="28"/>
          <w:shd w:val="clear" w:color="auto" w:fill="FFFFFF"/>
          <w14:textFill>
            <w14:solidFill>
              <w14:schemeClr w14:val="tx1"/>
            </w14:solidFill>
          </w14:textFill>
        </w:rPr>
        <w:t>《北京交通发展报告（2023）》</w:t>
      </w:r>
      <w:r>
        <w:rPr>
          <w:rFonts w:ascii="仿宋" w:hAnsi="仿宋" w:cs="Arial"/>
          <w:color w:val="222222"/>
          <w:kern w:val="0"/>
          <w:szCs w:val="24"/>
          <w:shd w:val="clear" w:color="auto" w:fill="FFFFFF"/>
          <w:lang w:bidi="ar"/>
        </w:rPr>
        <w:t>蓝皮书发布</w:t>
      </w:r>
      <w:bookmarkEnd w:id="38"/>
    </w:p>
    <w:p w14:paraId="5F6E9CAF">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27日，第五届首都高端智库北京交通发展论坛暨“光华奖”走进交大在北京交通大学召开。北京交通大学经济管理学院教授欧国立代表首都高端智库发布《北京交通发展报告（2023）》蓝皮书。蓝皮书以“四网融合”背景下的城市交通运营管理为主题，围绕对外交通、绿色交通、平安交通、科技交通、人文交通、旅游交通等角度对2022年北京交通发展情况进行了总结分析。蓝皮书相关数据表明，2022年北京交通运行平稳有序，高质量完成各项任务，有力推动北京非首都功能疏解，支撑了京津冀协同发展；北京交通迎来“十四五”规划实施的关键之年，圆满完成党的二十大、冬奥会和冬残奥会、服贸会交通服务保障任务，较好地实现了全年各项工作目标。</w:t>
      </w:r>
    </w:p>
    <w:p w14:paraId="446F25C7">
      <w:pPr>
        <w:pStyle w:val="2"/>
        <w:numPr>
          <w:ilvl w:val="0"/>
          <w:numId w:val="3"/>
        </w:numPr>
        <w:rPr>
          <w:rFonts w:hint="eastAsia" w:ascii="仿宋" w:hAnsi="仿宋" w:cs="Arial"/>
          <w:color w:val="222222"/>
          <w:kern w:val="0"/>
          <w:szCs w:val="24"/>
          <w:shd w:val="clear" w:color="auto" w:fill="FFFFFF"/>
          <w:lang w:bidi="ar"/>
        </w:rPr>
      </w:pPr>
      <w:bookmarkStart w:id="39" w:name="_Toc182576443"/>
      <w:r>
        <w:rPr>
          <w:rFonts w:hint="eastAsia" w:ascii="仿宋" w:hAnsi="仿宋" w:cs="Arial"/>
          <w:color w:val="222222"/>
          <w:shd w:val="clear" w:color="auto" w:fill="FFFFFF"/>
          <w:lang w:bidi="ar"/>
        </w:rPr>
        <w:t>合肥市片区综合开发总体策划方案拟将展开编制</w:t>
      </w:r>
      <w:bookmarkEnd w:id="39"/>
    </w:p>
    <w:p w14:paraId="14019824">
      <w:pPr>
        <w:pStyle w:val="21"/>
        <w:spacing w:before="0" w:beforeAutospacing="0" w:after="0" w:afterAutospacing="0" w:line="360" w:lineRule="auto"/>
        <w:ind w:firstLine="480"/>
        <w:jc w:val="both"/>
        <w:rPr>
          <w:rFonts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27日，从规划部门获悉，合肥市片区综合开发总体策划方案拟将展开编制。通过谋划新“蓝图”，强化策划引领作用，加强全市土地资源精准配置、高效利用，系统性、整体性开展片区综合开发。按照要求，本次方案规划研究范围为合肥市中心城区范围，包河区（不含巢湖水面）、瑶海区、庐阳区、蜀山区规划城镇集中连片建设的区域，总面积约1003.6平方公里。结合城市单元规划、土地要素供给情况和市场需求，划定合肥市中心城区范围内实施片区综合开发的区域（简称“综合开发片区”），并确定各综合开发片区的主导功能和发展方向，合理安排各片区的开发时序和片区内近期重点的实施地段。</w:t>
      </w:r>
    </w:p>
    <w:p w14:paraId="10C391E6">
      <w:pPr>
        <w:pStyle w:val="2"/>
        <w:numPr>
          <w:ilvl w:val="0"/>
          <w:numId w:val="3"/>
        </w:numPr>
        <w:rPr>
          <w:rFonts w:hint="eastAsia" w:ascii="仿宋" w:hAnsi="仿宋" w:cs="Arial"/>
          <w:color w:val="222222"/>
          <w:kern w:val="0"/>
          <w:szCs w:val="24"/>
          <w:shd w:val="clear" w:color="auto" w:fill="FFFFFF"/>
          <w:lang w:bidi="ar"/>
        </w:rPr>
      </w:pPr>
      <w:bookmarkStart w:id="40" w:name="_Toc182576444"/>
      <w:r>
        <w:rPr>
          <w:rFonts w:hint="eastAsia" w:ascii="仿宋" w:hAnsi="仿宋" w:cs="Arial"/>
          <w:color w:val="222222"/>
          <w:kern w:val="0"/>
          <w:szCs w:val="24"/>
          <w:shd w:val="clear" w:color="auto" w:fill="FFFFFF"/>
          <w:lang w:bidi="ar"/>
        </w:rPr>
        <w:t>天津</w:t>
      </w:r>
      <w:r>
        <w:rPr>
          <w:rFonts w:ascii="仿宋" w:hAnsi="仿宋" w:cs="Arial"/>
          <w:color w:val="222222"/>
          <w:shd w:val="clear" w:color="auto" w:fill="FFFFFF"/>
          <w:lang w:bidi="ar"/>
        </w:rPr>
        <w:t>“轨交导向城市建造(塑形)之路线下论坛”成功举办</w:t>
      </w:r>
      <w:bookmarkEnd w:id="40"/>
    </w:p>
    <w:p w14:paraId="39C0F0F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近日，由天津轨道交通集团与天津市规划资源局等有关单位联合组织的“轨交导向城市建造(塑形)之路线下论坛”成功举办。论坛邀请到部分专家学者做主旨报告和交流分享。会上，各位专家学者结合“轨道交通导向城市塑形之路、TOD新质生产力实施、TOD一体化高质量发展、TOD落地推进路径与政策创新”进行了精彩的主旨演讲，针对轨道交通建设投融资模式、车辆段项目TOD开发策略等方面展开全面交流研讨。</w:t>
      </w:r>
      <w:r>
        <w:rPr>
          <w:rFonts w:hint="eastAsia" w:ascii="仿宋" w:hAnsi="仿宋" w:eastAsia="仿宋" w:cs="Arial"/>
          <w:color w:val="222222"/>
          <w:shd w:val="clear" w:color="auto" w:fill="FFFFFF"/>
          <w:lang w:bidi="ar"/>
        </w:rPr>
        <w:t>天津</w:t>
      </w:r>
      <w:r>
        <w:rPr>
          <w:rFonts w:ascii="仿宋" w:hAnsi="仿宋" w:eastAsia="仿宋" w:cs="Arial"/>
          <w:color w:val="222222"/>
          <w:shd w:val="clear" w:color="auto" w:fill="FFFFFF"/>
          <w:lang w:bidi="ar"/>
        </w:rPr>
        <w:t>轨道交通集团作为TOD实施主体，将结合研讨成果，深入贯彻落实市委、市政府“十项行动”“三量”“三新”工作部署，牢固树立市场经营与传统建设运营并重理念，把TOD理念深深植入企业发展基因当中，依托批复的《“津城”轨道交通场站综合开发近期建设规划》，谋划好“TOD+”项目，将人口、岗位、产业吸引积聚到站点周边，积极打造站城一体、产城融合的轨道TOD生活圈。</w:t>
      </w:r>
    </w:p>
    <w:p w14:paraId="697A3802">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p>
    <w:p w14:paraId="544A94AD">
      <w:pPr>
        <w:pStyle w:val="48"/>
        <w:ind w:firstLine="0" w:firstLineChars="0"/>
        <w:rPr>
          <w:rFonts w:hint="eastAsia" w:ascii="仿宋" w:hAnsi="仿宋"/>
          <w:b/>
          <w:bCs/>
          <w:shd w:val="clear" w:color="auto" w:fill="FFFFFF"/>
          <w:lang w:bidi="ar"/>
        </w:rPr>
      </w:pPr>
    </w:p>
    <w:p w14:paraId="5AC7F76E">
      <w:pPr>
        <w:pStyle w:val="2"/>
        <w:keepLines/>
        <w:widowControl w:val="0"/>
        <w:spacing w:before="163" w:after="163"/>
        <w:rPr>
          <w:rFonts w:hint="eastAsia" w:ascii="仿宋" w:hAnsi="仿宋" w:cs="Times New Roman"/>
          <w:color w:val="5B9BD5" w:themeColor="accent5"/>
          <w:kern w:val="44"/>
          <w:sz w:val="28"/>
          <w14:textFill>
            <w14:solidFill>
              <w14:schemeClr w14:val="accent5"/>
            </w14:solidFill>
          </w14:textFill>
        </w:rPr>
        <w:sectPr>
          <w:pgSz w:w="11906" w:h="16838"/>
          <w:pgMar w:top="1440" w:right="1800" w:bottom="1440" w:left="1800" w:header="1474" w:footer="964" w:gutter="0"/>
          <w:cols w:space="425" w:num="1"/>
          <w:docGrid w:type="lines" w:linePitch="326" w:charSpace="0"/>
        </w:sectPr>
      </w:pPr>
    </w:p>
    <w:p w14:paraId="3D153877">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41" w:name="_Toc182576445"/>
      <w:r>
        <w:rPr>
          <w:rFonts w:hint="eastAsia" w:ascii="黑体" w:hAnsi="黑体" w:eastAsia="黑体" w:cs="Times New Roman"/>
          <w:color w:val="5B9BD5" w:themeColor="accent5"/>
          <w:kern w:val="44"/>
          <w:sz w:val="28"/>
          <w14:textFill>
            <w14:solidFill>
              <w14:schemeClr w14:val="accent5"/>
            </w14:solidFill>
          </w14:textFill>
        </w:rPr>
        <w:t>三</w:t>
      </w:r>
      <w:r>
        <w:rPr>
          <w:rFonts w:ascii="黑体" w:hAnsi="黑体" w:eastAsia="黑体" w:cs="Times New Roman"/>
          <w:color w:val="5B9BD5" w:themeColor="accent5"/>
          <w:kern w:val="44"/>
          <w:sz w:val="28"/>
          <w14:textFill>
            <w14:solidFill>
              <w14:schemeClr w14:val="accent5"/>
            </w14:solidFill>
          </w14:textFill>
        </w:rPr>
        <w:t>、企业动态</w:t>
      </w:r>
      <w:bookmarkEnd w:id="41"/>
    </w:p>
    <w:p w14:paraId="3FCA34EE">
      <w:pPr>
        <w:pStyle w:val="2"/>
        <w:numPr>
          <w:ilvl w:val="0"/>
          <w:numId w:val="4"/>
        </w:numPr>
        <w:rPr>
          <w:rFonts w:hint="eastAsia" w:ascii="仿宋" w:hAnsi="仿宋"/>
          <w:lang w:bidi="ar"/>
        </w:rPr>
      </w:pPr>
      <w:bookmarkStart w:id="42" w:name="_Toc182576446"/>
      <w:bookmarkStart w:id="43" w:name="_Hlk176338499"/>
      <w:bookmarkStart w:id="44" w:name="_Hlk157771138"/>
      <w:r>
        <w:rPr>
          <w:rFonts w:hint="eastAsia" w:ascii="仿宋" w:hAnsi="仿宋"/>
          <w:shd w:val="clear" w:color="auto" w:fill="FFFFFF"/>
          <w:lang w:bidi="ar"/>
        </w:rPr>
        <w:t>10月TOD土地成交6幅，</w:t>
      </w:r>
      <w:r>
        <w:rPr>
          <w:rFonts w:hint="eastAsia" w:ascii="仿宋" w:hAnsi="仿宋"/>
          <w:lang w:bidi="ar"/>
        </w:rPr>
        <w:t>深铁获得机场东地块，合肥轨道获得5幅宅地</w:t>
      </w:r>
      <w:bookmarkEnd w:id="42"/>
    </w:p>
    <w:bookmarkEnd w:id="43"/>
    <w:p w14:paraId="6834ED75">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份TOD土地市场较为活跃，深圳和合肥共成交6幅TOD地块，总用地面积约45万平方米，总建筑面积约72万平方米，总成交价为124亿元，均为底价成交，其中深圳市地铁集团有限公司67亿元竞得机场东地块，合肥市轨道交通集团有限公司57亿元竞得5幅住宅地块。</w:t>
      </w:r>
    </w:p>
    <w:p w14:paraId="7E8C4C4A">
      <w:pPr>
        <w:ind w:firstLine="482"/>
        <w:jc w:val="center"/>
        <w:rPr>
          <w:rFonts w:hint="eastAsia" w:ascii="仿宋" w:hAnsi="仿宋"/>
          <w:b/>
          <w:bCs/>
        </w:rPr>
      </w:pPr>
      <w:r>
        <w:rPr>
          <w:rFonts w:hint="eastAsia" w:ascii="仿宋" w:hAnsi="仿宋"/>
          <w:b/>
          <w:bCs/>
        </w:rPr>
        <w:t>表：2</w:t>
      </w:r>
      <w:r>
        <w:rPr>
          <w:rFonts w:ascii="仿宋" w:hAnsi="仿宋"/>
          <w:b/>
          <w:bCs/>
        </w:rPr>
        <w:t>024</w:t>
      </w:r>
      <w:r>
        <w:rPr>
          <w:rFonts w:hint="eastAsia" w:ascii="仿宋" w:hAnsi="仿宋"/>
          <w:b/>
          <w:bCs/>
        </w:rPr>
        <w:t>年10月份典型城市T</w:t>
      </w:r>
      <w:r>
        <w:rPr>
          <w:rFonts w:ascii="仿宋" w:hAnsi="仿宋"/>
          <w:b/>
          <w:bCs/>
        </w:rPr>
        <w:t>OD</w:t>
      </w:r>
      <w:r>
        <w:rPr>
          <w:rFonts w:hint="eastAsia" w:ascii="仿宋" w:hAnsi="仿宋"/>
          <w:b/>
          <w:bCs/>
        </w:rPr>
        <w:t>地块成交信息</w:t>
      </w:r>
    </w:p>
    <w:p w14:paraId="3A994552">
      <w:pPr>
        <w:ind w:firstLine="440"/>
        <w:jc w:val="right"/>
        <w:rPr>
          <w:rFonts w:hint="eastAsia" w:ascii="仿宋" w:hAnsi="仿宋" w:cs="宋体"/>
          <w:kern w:val="0"/>
          <w:sz w:val="21"/>
          <w:szCs w:val="21"/>
        </w:rPr>
      </w:pPr>
      <w:r>
        <w:rPr>
          <w:rFonts w:hint="eastAsia" w:ascii="仿宋" w:hAnsi="仿宋"/>
          <w:sz w:val="22"/>
          <w:szCs w:val="21"/>
        </w:rPr>
        <w:t>单位：</w:t>
      </w:r>
      <w:r>
        <w:rPr>
          <w:rFonts w:hint="eastAsia" w:ascii="仿宋" w:hAnsi="仿宋" w:cs="宋体"/>
          <w:kern w:val="0"/>
          <w:sz w:val="21"/>
          <w:szCs w:val="21"/>
        </w:rPr>
        <w:t>㎡、万元</w:t>
      </w:r>
    </w:p>
    <w:tbl>
      <w:tblPr>
        <w:tblStyle w:val="56"/>
        <w:tblW w:w="4952" w:type="pct"/>
        <w:jc w:val="cente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
      <w:tblGrid>
        <w:gridCol w:w="723"/>
        <w:gridCol w:w="1602"/>
        <w:gridCol w:w="731"/>
        <w:gridCol w:w="1019"/>
        <w:gridCol w:w="1308"/>
        <w:gridCol w:w="1019"/>
        <w:gridCol w:w="1170"/>
        <w:gridCol w:w="868"/>
      </w:tblGrid>
      <w:tr w14:paraId="5AF0132E">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Ex>
        <w:trPr>
          <w:trHeight w:val="271" w:hRule="atLeast"/>
          <w:jc w:val="center"/>
        </w:trPr>
        <w:tc>
          <w:tcPr>
            <w:tcW w:w="428" w:type="pct"/>
            <w:tcBorders>
              <w:bottom w:val="single" w:color="9CC2E5" w:themeColor="accent5" w:themeTint="99" w:sz="12" w:space="0"/>
              <w:insideH w:val="single" w:sz="12" w:space="0"/>
            </w:tcBorders>
            <w:noWrap/>
            <w:vAlign w:val="center"/>
          </w:tcPr>
          <w:p w14:paraId="31DDC311">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城市</w:t>
            </w:r>
          </w:p>
        </w:tc>
        <w:tc>
          <w:tcPr>
            <w:tcW w:w="949" w:type="pct"/>
            <w:tcBorders>
              <w:bottom w:val="single" w:color="9CC2E5" w:themeColor="accent5" w:themeTint="99" w:sz="12" w:space="0"/>
              <w:insideH w:val="single" w:sz="12" w:space="0"/>
            </w:tcBorders>
            <w:noWrap/>
            <w:vAlign w:val="center"/>
          </w:tcPr>
          <w:p w14:paraId="23912D82">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土地名称</w:t>
            </w:r>
          </w:p>
        </w:tc>
        <w:tc>
          <w:tcPr>
            <w:tcW w:w="433" w:type="pct"/>
            <w:tcBorders>
              <w:bottom w:val="single" w:color="9CC2E5" w:themeColor="accent5" w:themeTint="99" w:sz="12" w:space="0"/>
              <w:insideH w:val="single" w:sz="12" w:space="0"/>
            </w:tcBorders>
            <w:noWrap/>
            <w:vAlign w:val="center"/>
          </w:tcPr>
          <w:p w14:paraId="138BA5E7">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土地属性</w:t>
            </w:r>
          </w:p>
        </w:tc>
        <w:tc>
          <w:tcPr>
            <w:tcW w:w="604" w:type="pct"/>
            <w:tcBorders>
              <w:bottom w:val="single" w:color="9CC2E5" w:themeColor="accent5" w:themeTint="99" w:sz="12" w:space="0"/>
              <w:insideH w:val="single" w:sz="12" w:space="0"/>
            </w:tcBorders>
            <w:noWrap/>
            <w:vAlign w:val="center"/>
          </w:tcPr>
          <w:p w14:paraId="6F6841F1">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用地面积(㎡)</w:t>
            </w:r>
          </w:p>
        </w:tc>
        <w:tc>
          <w:tcPr>
            <w:tcW w:w="775" w:type="pct"/>
            <w:tcBorders>
              <w:bottom w:val="single" w:color="9CC2E5" w:themeColor="accent5" w:themeTint="99" w:sz="12" w:space="0"/>
              <w:insideH w:val="single" w:sz="12" w:space="0"/>
            </w:tcBorders>
            <w:noWrap/>
            <w:vAlign w:val="center"/>
          </w:tcPr>
          <w:p w14:paraId="3469C3D5">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成交总价(万元)</w:t>
            </w:r>
          </w:p>
        </w:tc>
        <w:tc>
          <w:tcPr>
            <w:tcW w:w="604" w:type="pct"/>
            <w:tcBorders>
              <w:bottom w:val="single" w:color="9CC2E5" w:themeColor="accent5" w:themeTint="99" w:sz="12" w:space="0"/>
              <w:insideH w:val="single" w:sz="12" w:space="0"/>
            </w:tcBorders>
            <w:noWrap/>
            <w:vAlign w:val="center"/>
          </w:tcPr>
          <w:p w14:paraId="588A8E5B">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成交楼板价(元/㎡)</w:t>
            </w:r>
          </w:p>
        </w:tc>
        <w:tc>
          <w:tcPr>
            <w:tcW w:w="693" w:type="pct"/>
            <w:tcBorders>
              <w:bottom w:val="single" w:color="9CC2E5" w:themeColor="accent5" w:themeTint="99" w:sz="12" w:space="0"/>
              <w:insideH w:val="single" w:sz="12" w:space="0"/>
            </w:tcBorders>
            <w:noWrap/>
            <w:vAlign w:val="center"/>
          </w:tcPr>
          <w:p w14:paraId="568419F1">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竞得企业</w:t>
            </w:r>
          </w:p>
        </w:tc>
        <w:tc>
          <w:tcPr>
            <w:tcW w:w="514" w:type="pct"/>
            <w:tcBorders>
              <w:bottom w:val="single" w:color="9CC2E5" w:themeColor="accent5" w:themeTint="99" w:sz="12" w:space="0"/>
              <w:insideH w:val="single" w:sz="12" w:space="0"/>
            </w:tcBorders>
            <w:noWrap/>
            <w:vAlign w:val="center"/>
          </w:tcPr>
          <w:p w14:paraId="24E40712">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成交日期</w:t>
            </w:r>
          </w:p>
        </w:tc>
      </w:tr>
      <w:tr w14:paraId="0B6E8DAF">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71" w:hRule="atLeast"/>
          <w:jc w:val="center"/>
        </w:trPr>
        <w:tc>
          <w:tcPr>
            <w:tcW w:w="428" w:type="pct"/>
            <w:noWrap/>
            <w:vAlign w:val="center"/>
          </w:tcPr>
          <w:p w14:paraId="34915B28">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深圳</w:t>
            </w:r>
          </w:p>
        </w:tc>
        <w:tc>
          <w:tcPr>
            <w:tcW w:w="949" w:type="pct"/>
            <w:noWrap/>
            <w:vAlign w:val="center"/>
          </w:tcPr>
          <w:p w14:paraId="4762ED24">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深土交告</w:t>
            </w:r>
            <w:r>
              <w:rPr>
                <w:rFonts w:ascii="仿宋" w:hAnsi="仿宋" w:cs="Arial"/>
                <w:kern w:val="0"/>
                <w:sz w:val="21"/>
                <w:szCs w:val="21"/>
              </w:rPr>
              <w:t>[2024]23号/A219-0080</w:t>
            </w:r>
          </w:p>
        </w:tc>
        <w:tc>
          <w:tcPr>
            <w:tcW w:w="433" w:type="pct"/>
            <w:noWrap/>
            <w:vAlign w:val="center"/>
          </w:tcPr>
          <w:p w14:paraId="39304F3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604" w:type="pct"/>
            <w:noWrap/>
            <w:vAlign w:val="center"/>
          </w:tcPr>
          <w:p w14:paraId="0D5C330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181,552</w:t>
            </w:r>
          </w:p>
        </w:tc>
        <w:tc>
          <w:tcPr>
            <w:tcW w:w="775" w:type="pct"/>
            <w:noWrap/>
            <w:vAlign w:val="center"/>
          </w:tcPr>
          <w:p w14:paraId="34EB33A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666,500</w:t>
            </w:r>
          </w:p>
        </w:tc>
        <w:tc>
          <w:tcPr>
            <w:tcW w:w="604" w:type="pct"/>
            <w:noWrap/>
            <w:vAlign w:val="center"/>
          </w:tcPr>
          <w:p w14:paraId="3E2A0BC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22,994</w:t>
            </w:r>
          </w:p>
        </w:tc>
        <w:tc>
          <w:tcPr>
            <w:tcW w:w="693" w:type="pct"/>
            <w:noWrap/>
            <w:vAlign w:val="center"/>
          </w:tcPr>
          <w:p w14:paraId="6E119C6A">
            <w:pPr>
              <w:widowControl/>
              <w:spacing w:line="240" w:lineRule="auto"/>
              <w:ind w:firstLine="0" w:firstLineChars="0"/>
              <w:jc w:val="center"/>
              <w:rPr>
                <w:rFonts w:hint="eastAsia" w:ascii="仿宋" w:hAnsi="仿宋" w:cs="Arial"/>
                <w:kern w:val="0"/>
                <w:sz w:val="21"/>
                <w:szCs w:val="21"/>
              </w:rPr>
            </w:pPr>
            <w:r>
              <w:rPr>
                <w:rFonts w:ascii="仿宋" w:hAnsi="仿宋" w:cs="Arial"/>
                <w:kern w:val="0"/>
                <w:sz w:val="21"/>
                <w:szCs w:val="21"/>
              </w:rPr>
              <w:t>深圳市地铁集团有限公司</w:t>
            </w:r>
          </w:p>
        </w:tc>
        <w:tc>
          <w:tcPr>
            <w:tcW w:w="514" w:type="pct"/>
            <w:noWrap/>
            <w:vAlign w:val="center"/>
          </w:tcPr>
          <w:p w14:paraId="34AA7C4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10-08</w:t>
            </w:r>
          </w:p>
        </w:tc>
      </w:tr>
      <w:tr w14:paraId="35BB8EA9">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71" w:hRule="atLeast"/>
          <w:jc w:val="center"/>
        </w:trPr>
        <w:tc>
          <w:tcPr>
            <w:tcW w:w="428" w:type="pct"/>
            <w:vMerge w:val="restart"/>
            <w:noWrap/>
            <w:vAlign w:val="center"/>
          </w:tcPr>
          <w:p w14:paraId="07F38D2B">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合肥</w:t>
            </w:r>
          </w:p>
        </w:tc>
        <w:tc>
          <w:tcPr>
            <w:tcW w:w="949" w:type="pct"/>
            <w:noWrap/>
            <w:vAlign w:val="center"/>
          </w:tcPr>
          <w:p w14:paraId="257B66B7">
            <w:pPr>
              <w:widowControl/>
              <w:spacing w:line="240" w:lineRule="auto"/>
              <w:ind w:firstLine="0" w:firstLineChars="0"/>
              <w:jc w:val="center"/>
              <w:rPr>
                <w:rFonts w:hint="eastAsia" w:ascii="仿宋" w:hAnsi="仿宋" w:cs="宋体"/>
                <w:color w:val="000000"/>
                <w:kern w:val="0"/>
                <w:sz w:val="21"/>
                <w:szCs w:val="21"/>
              </w:rPr>
            </w:pPr>
            <w:r>
              <w:rPr>
                <w:rFonts w:ascii="仿宋" w:hAnsi="仿宋" w:cs="Arial"/>
                <w:kern w:val="0"/>
                <w:sz w:val="21"/>
                <w:szCs w:val="21"/>
              </w:rPr>
              <w:t>包河区上海路以东、中山东路以北 BH202430</w:t>
            </w:r>
          </w:p>
        </w:tc>
        <w:tc>
          <w:tcPr>
            <w:tcW w:w="433" w:type="pct"/>
            <w:noWrap/>
            <w:vAlign w:val="center"/>
          </w:tcPr>
          <w:p w14:paraId="0A2047E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商住</w:t>
            </w:r>
          </w:p>
        </w:tc>
        <w:tc>
          <w:tcPr>
            <w:tcW w:w="604" w:type="pct"/>
            <w:noWrap/>
            <w:vAlign w:val="center"/>
          </w:tcPr>
          <w:p w14:paraId="137274E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64,474</w:t>
            </w:r>
          </w:p>
        </w:tc>
        <w:tc>
          <w:tcPr>
            <w:tcW w:w="775" w:type="pct"/>
            <w:noWrap/>
            <w:vAlign w:val="center"/>
          </w:tcPr>
          <w:p w14:paraId="7EC8EF8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146,999</w:t>
            </w:r>
          </w:p>
        </w:tc>
        <w:tc>
          <w:tcPr>
            <w:tcW w:w="604" w:type="pct"/>
            <w:noWrap/>
            <w:vAlign w:val="center"/>
          </w:tcPr>
          <w:p w14:paraId="7D9A7C6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12,667</w:t>
            </w:r>
          </w:p>
        </w:tc>
        <w:tc>
          <w:tcPr>
            <w:tcW w:w="693" w:type="pct"/>
            <w:vMerge w:val="restart"/>
            <w:noWrap/>
            <w:vAlign w:val="center"/>
          </w:tcPr>
          <w:p w14:paraId="2AA2DA87">
            <w:pPr>
              <w:widowControl/>
              <w:spacing w:line="240" w:lineRule="auto"/>
              <w:ind w:firstLine="0" w:firstLineChars="0"/>
              <w:jc w:val="center"/>
              <w:rPr>
                <w:rFonts w:hint="eastAsia" w:ascii="仿宋" w:hAnsi="仿宋" w:cs="Arial"/>
                <w:kern w:val="0"/>
                <w:sz w:val="21"/>
                <w:szCs w:val="21"/>
              </w:rPr>
            </w:pPr>
            <w:r>
              <w:rPr>
                <w:rFonts w:ascii="仿宋" w:hAnsi="仿宋" w:cs="Arial"/>
                <w:kern w:val="0"/>
                <w:sz w:val="21"/>
                <w:szCs w:val="21"/>
              </w:rPr>
              <w:t>合肥市轨道交通集团有限公司</w:t>
            </w:r>
          </w:p>
        </w:tc>
        <w:tc>
          <w:tcPr>
            <w:tcW w:w="514" w:type="pct"/>
            <w:vMerge w:val="restart"/>
            <w:noWrap/>
            <w:vAlign w:val="center"/>
          </w:tcPr>
          <w:p w14:paraId="44A62A8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10-31</w:t>
            </w:r>
          </w:p>
        </w:tc>
      </w:tr>
      <w:tr w14:paraId="622FA08B">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71" w:hRule="atLeast"/>
          <w:jc w:val="center"/>
        </w:trPr>
        <w:tc>
          <w:tcPr>
            <w:tcW w:w="428" w:type="pct"/>
            <w:vMerge w:val="continue"/>
            <w:noWrap/>
            <w:vAlign w:val="center"/>
          </w:tcPr>
          <w:p w14:paraId="3A64C15F">
            <w:pPr>
              <w:widowControl/>
              <w:spacing w:line="240" w:lineRule="auto"/>
              <w:ind w:firstLine="0" w:firstLineChars="0"/>
              <w:jc w:val="center"/>
              <w:rPr>
                <w:rFonts w:hint="eastAsia" w:ascii="仿宋" w:hAnsi="仿宋" w:cs="宋体"/>
                <w:b/>
                <w:bCs/>
                <w:color w:val="000000"/>
                <w:kern w:val="0"/>
                <w:sz w:val="21"/>
                <w:szCs w:val="21"/>
              </w:rPr>
            </w:pPr>
          </w:p>
        </w:tc>
        <w:tc>
          <w:tcPr>
            <w:tcW w:w="949" w:type="pct"/>
            <w:noWrap/>
            <w:vAlign w:val="center"/>
          </w:tcPr>
          <w:p w14:paraId="465B19E0">
            <w:pPr>
              <w:widowControl/>
              <w:spacing w:line="240" w:lineRule="auto"/>
              <w:ind w:firstLine="0" w:firstLineChars="0"/>
              <w:jc w:val="center"/>
              <w:rPr>
                <w:rFonts w:hint="eastAsia" w:ascii="仿宋" w:hAnsi="仿宋" w:cs="宋体"/>
                <w:color w:val="000000"/>
                <w:kern w:val="0"/>
                <w:sz w:val="21"/>
                <w:szCs w:val="21"/>
              </w:rPr>
            </w:pPr>
            <w:r>
              <w:rPr>
                <w:rFonts w:ascii="仿宋" w:hAnsi="仿宋" w:cs="Arial"/>
                <w:kern w:val="0"/>
                <w:sz w:val="21"/>
                <w:szCs w:val="21"/>
              </w:rPr>
              <w:t>包河区上海路以东、中山东路以南 BH202431</w:t>
            </w:r>
          </w:p>
        </w:tc>
        <w:tc>
          <w:tcPr>
            <w:tcW w:w="433" w:type="pct"/>
            <w:noWrap/>
            <w:vAlign w:val="center"/>
          </w:tcPr>
          <w:p w14:paraId="2FFC815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商住</w:t>
            </w:r>
          </w:p>
        </w:tc>
        <w:tc>
          <w:tcPr>
            <w:tcW w:w="604" w:type="pct"/>
            <w:noWrap/>
            <w:vAlign w:val="center"/>
          </w:tcPr>
          <w:p w14:paraId="04FAADB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78,360</w:t>
            </w:r>
          </w:p>
        </w:tc>
        <w:tc>
          <w:tcPr>
            <w:tcW w:w="775" w:type="pct"/>
            <w:noWrap/>
            <w:vAlign w:val="center"/>
          </w:tcPr>
          <w:p w14:paraId="7D1467B6">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139,520</w:t>
            </w:r>
          </w:p>
        </w:tc>
        <w:tc>
          <w:tcPr>
            <w:tcW w:w="604" w:type="pct"/>
            <w:noWrap/>
            <w:vAlign w:val="center"/>
          </w:tcPr>
          <w:p w14:paraId="12DBBB2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13,696</w:t>
            </w:r>
          </w:p>
        </w:tc>
        <w:tc>
          <w:tcPr>
            <w:tcW w:w="693" w:type="pct"/>
            <w:vMerge w:val="continue"/>
            <w:noWrap/>
            <w:vAlign w:val="center"/>
          </w:tcPr>
          <w:p w14:paraId="12A6F7AC">
            <w:pPr>
              <w:widowControl/>
              <w:spacing w:line="240" w:lineRule="auto"/>
              <w:ind w:firstLine="0" w:firstLineChars="0"/>
              <w:jc w:val="center"/>
              <w:rPr>
                <w:rFonts w:hint="eastAsia" w:ascii="仿宋" w:hAnsi="仿宋" w:cs="Arial"/>
                <w:kern w:val="0"/>
                <w:sz w:val="21"/>
                <w:szCs w:val="21"/>
              </w:rPr>
            </w:pPr>
          </w:p>
        </w:tc>
        <w:tc>
          <w:tcPr>
            <w:tcW w:w="514" w:type="pct"/>
            <w:vMerge w:val="continue"/>
            <w:noWrap/>
            <w:vAlign w:val="center"/>
          </w:tcPr>
          <w:p w14:paraId="2A783FAD">
            <w:pPr>
              <w:widowControl/>
              <w:spacing w:line="240" w:lineRule="auto"/>
              <w:ind w:firstLine="0" w:firstLineChars="0"/>
              <w:jc w:val="center"/>
              <w:rPr>
                <w:rFonts w:hint="eastAsia" w:ascii="仿宋" w:hAnsi="仿宋" w:cs="宋体"/>
                <w:color w:val="000000"/>
                <w:kern w:val="0"/>
                <w:sz w:val="21"/>
                <w:szCs w:val="21"/>
              </w:rPr>
            </w:pPr>
          </w:p>
        </w:tc>
      </w:tr>
      <w:tr w14:paraId="1A242916">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71" w:hRule="atLeast"/>
          <w:jc w:val="center"/>
        </w:trPr>
        <w:tc>
          <w:tcPr>
            <w:tcW w:w="428" w:type="pct"/>
            <w:vMerge w:val="continue"/>
            <w:noWrap/>
            <w:vAlign w:val="center"/>
          </w:tcPr>
          <w:p w14:paraId="1A494167">
            <w:pPr>
              <w:widowControl/>
              <w:spacing w:line="240" w:lineRule="auto"/>
              <w:ind w:firstLine="0" w:firstLineChars="0"/>
              <w:jc w:val="center"/>
              <w:rPr>
                <w:rFonts w:hint="eastAsia" w:ascii="仿宋" w:hAnsi="仿宋" w:cs="宋体"/>
                <w:b/>
                <w:bCs/>
                <w:color w:val="000000"/>
                <w:kern w:val="0"/>
                <w:sz w:val="21"/>
                <w:szCs w:val="21"/>
              </w:rPr>
            </w:pPr>
          </w:p>
        </w:tc>
        <w:tc>
          <w:tcPr>
            <w:tcW w:w="949" w:type="pct"/>
            <w:noWrap/>
            <w:vAlign w:val="center"/>
          </w:tcPr>
          <w:p w14:paraId="075ED34E">
            <w:pPr>
              <w:widowControl/>
              <w:spacing w:line="240" w:lineRule="auto"/>
              <w:ind w:firstLine="0" w:firstLineChars="0"/>
              <w:jc w:val="center"/>
              <w:rPr>
                <w:rFonts w:hint="eastAsia" w:ascii="仿宋" w:hAnsi="仿宋" w:cs="宋体"/>
                <w:color w:val="000000"/>
                <w:kern w:val="0"/>
                <w:sz w:val="21"/>
                <w:szCs w:val="21"/>
              </w:rPr>
            </w:pPr>
            <w:r>
              <w:rPr>
                <w:rFonts w:ascii="仿宋" w:hAnsi="仿宋" w:cs="Arial"/>
                <w:kern w:val="0"/>
                <w:sz w:val="21"/>
                <w:szCs w:val="21"/>
              </w:rPr>
              <w:t>包河区泉州路以东、义城路以北 BH202432</w:t>
            </w:r>
          </w:p>
        </w:tc>
        <w:tc>
          <w:tcPr>
            <w:tcW w:w="433" w:type="pct"/>
            <w:noWrap/>
            <w:vAlign w:val="center"/>
          </w:tcPr>
          <w:p w14:paraId="5BDD045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604" w:type="pct"/>
            <w:noWrap/>
            <w:vAlign w:val="center"/>
          </w:tcPr>
          <w:p w14:paraId="48FD6A5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36,467</w:t>
            </w:r>
          </w:p>
        </w:tc>
        <w:tc>
          <w:tcPr>
            <w:tcW w:w="775" w:type="pct"/>
            <w:noWrap/>
            <w:vAlign w:val="center"/>
          </w:tcPr>
          <w:p w14:paraId="5FBE003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90,255</w:t>
            </w:r>
          </w:p>
        </w:tc>
        <w:tc>
          <w:tcPr>
            <w:tcW w:w="604" w:type="pct"/>
            <w:noWrap/>
            <w:vAlign w:val="center"/>
          </w:tcPr>
          <w:p w14:paraId="171B78C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13,750</w:t>
            </w:r>
          </w:p>
        </w:tc>
        <w:tc>
          <w:tcPr>
            <w:tcW w:w="693" w:type="pct"/>
            <w:vMerge w:val="continue"/>
            <w:noWrap/>
            <w:vAlign w:val="center"/>
          </w:tcPr>
          <w:p w14:paraId="13F53D9E">
            <w:pPr>
              <w:widowControl/>
              <w:spacing w:line="240" w:lineRule="auto"/>
              <w:ind w:firstLine="0" w:firstLineChars="0"/>
              <w:jc w:val="center"/>
              <w:rPr>
                <w:rFonts w:hint="eastAsia" w:ascii="仿宋" w:hAnsi="仿宋" w:cs="Arial"/>
                <w:kern w:val="0"/>
                <w:sz w:val="21"/>
                <w:szCs w:val="21"/>
              </w:rPr>
            </w:pPr>
          </w:p>
        </w:tc>
        <w:tc>
          <w:tcPr>
            <w:tcW w:w="514" w:type="pct"/>
            <w:vMerge w:val="continue"/>
            <w:noWrap/>
            <w:vAlign w:val="center"/>
          </w:tcPr>
          <w:p w14:paraId="42498946">
            <w:pPr>
              <w:widowControl/>
              <w:spacing w:line="240" w:lineRule="auto"/>
              <w:ind w:firstLine="0" w:firstLineChars="0"/>
              <w:jc w:val="center"/>
              <w:rPr>
                <w:rFonts w:hint="eastAsia" w:ascii="仿宋" w:hAnsi="仿宋" w:cs="宋体"/>
                <w:color w:val="000000"/>
                <w:kern w:val="0"/>
                <w:sz w:val="21"/>
                <w:szCs w:val="21"/>
              </w:rPr>
            </w:pPr>
          </w:p>
        </w:tc>
      </w:tr>
      <w:tr w14:paraId="529483AB">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71" w:hRule="atLeast"/>
          <w:jc w:val="center"/>
        </w:trPr>
        <w:tc>
          <w:tcPr>
            <w:tcW w:w="428" w:type="pct"/>
            <w:vMerge w:val="continue"/>
            <w:noWrap/>
            <w:vAlign w:val="center"/>
          </w:tcPr>
          <w:p w14:paraId="1E916B5B">
            <w:pPr>
              <w:widowControl/>
              <w:spacing w:line="240" w:lineRule="auto"/>
              <w:ind w:firstLine="0" w:firstLineChars="0"/>
              <w:jc w:val="center"/>
              <w:rPr>
                <w:rFonts w:hint="eastAsia" w:ascii="仿宋" w:hAnsi="仿宋" w:cs="宋体"/>
                <w:b/>
                <w:bCs/>
                <w:color w:val="000000"/>
                <w:kern w:val="0"/>
                <w:sz w:val="21"/>
                <w:szCs w:val="21"/>
              </w:rPr>
            </w:pPr>
          </w:p>
        </w:tc>
        <w:tc>
          <w:tcPr>
            <w:tcW w:w="949" w:type="pct"/>
            <w:noWrap/>
            <w:vAlign w:val="center"/>
          </w:tcPr>
          <w:p w14:paraId="4BD0439F">
            <w:pPr>
              <w:widowControl/>
              <w:spacing w:line="240" w:lineRule="auto"/>
              <w:ind w:firstLine="0" w:firstLineChars="0"/>
              <w:jc w:val="center"/>
              <w:rPr>
                <w:rFonts w:hint="eastAsia" w:ascii="仿宋" w:hAnsi="仿宋" w:cs="宋体"/>
                <w:color w:val="000000"/>
                <w:kern w:val="0"/>
                <w:sz w:val="21"/>
                <w:szCs w:val="21"/>
              </w:rPr>
            </w:pPr>
            <w:r>
              <w:rPr>
                <w:rFonts w:ascii="仿宋" w:hAnsi="仿宋" w:cs="Arial"/>
                <w:kern w:val="0"/>
                <w:sz w:val="21"/>
                <w:szCs w:val="21"/>
              </w:rPr>
              <w:t>包河区泉州路以东、方兴大道以北 BH202433</w:t>
            </w:r>
          </w:p>
        </w:tc>
        <w:tc>
          <w:tcPr>
            <w:tcW w:w="433" w:type="pct"/>
            <w:noWrap/>
            <w:vAlign w:val="center"/>
          </w:tcPr>
          <w:p w14:paraId="0FBF022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604" w:type="pct"/>
            <w:noWrap/>
            <w:vAlign w:val="center"/>
          </w:tcPr>
          <w:p w14:paraId="2DC17DE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45,280</w:t>
            </w:r>
          </w:p>
        </w:tc>
        <w:tc>
          <w:tcPr>
            <w:tcW w:w="775" w:type="pct"/>
            <w:noWrap/>
            <w:vAlign w:val="center"/>
          </w:tcPr>
          <w:p w14:paraId="76984BE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99,163</w:t>
            </w:r>
          </w:p>
        </w:tc>
        <w:tc>
          <w:tcPr>
            <w:tcW w:w="604" w:type="pct"/>
            <w:noWrap/>
            <w:vAlign w:val="center"/>
          </w:tcPr>
          <w:p w14:paraId="4BA5435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13,687</w:t>
            </w:r>
          </w:p>
        </w:tc>
        <w:tc>
          <w:tcPr>
            <w:tcW w:w="693" w:type="pct"/>
            <w:vMerge w:val="continue"/>
            <w:noWrap/>
            <w:vAlign w:val="center"/>
          </w:tcPr>
          <w:p w14:paraId="1E148F9C">
            <w:pPr>
              <w:widowControl/>
              <w:spacing w:line="240" w:lineRule="auto"/>
              <w:ind w:firstLine="0" w:firstLineChars="0"/>
              <w:jc w:val="center"/>
              <w:rPr>
                <w:rFonts w:hint="eastAsia" w:ascii="仿宋" w:hAnsi="仿宋" w:cs="Arial"/>
                <w:kern w:val="0"/>
                <w:sz w:val="21"/>
                <w:szCs w:val="21"/>
              </w:rPr>
            </w:pPr>
          </w:p>
        </w:tc>
        <w:tc>
          <w:tcPr>
            <w:tcW w:w="514" w:type="pct"/>
            <w:vMerge w:val="continue"/>
            <w:noWrap/>
            <w:vAlign w:val="center"/>
          </w:tcPr>
          <w:p w14:paraId="15D61FF4">
            <w:pPr>
              <w:widowControl/>
              <w:spacing w:line="240" w:lineRule="auto"/>
              <w:ind w:firstLine="0" w:firstLineChars="0"/>
              <w:jc w:val="center"/>
              <w:rPr>
                <w:rFonts w:hint="eastAsia" w:ascii="仿宋" w:hAnsi="仿宋" w:cs="宋体"/>
                <w:color w:val="000000"/>
                <w:kern w:val="0"/>
                <w:sz w:val="21"/>
                <w:szCs w:val="21"/>
              </w:rPr>
            </w:pPr>
          </w:p>
        </w:tc>
      </w:tr>
      <w:tr w14:paraId="63939817">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71" w:hRule="atLeast"/>
          <w:jc w:val="center"/>
        </w:trPr>
        <w:tc>
          <w:tcPr>
            <w:tcW w:w="428" w:type="pct"/>
            <w:vMerge w:val="continue"/>
            <w:noWrap/>
            <w:vAlign w:val="center"/>
          </w:tcPr>
          <w:p w14:paraId="68EEC275">
            <w:pPr>
              <w:widowControl/>
              <w:spacing w:line="240" w:lineRule="auto"/>
              <w:ind w:firstLine="0" w:firstLineChars="0"/>
              <w:jc w:val="center"/>
              <w:rPr>
                <w:rFonts w:hint="eastAsia" w:ascii="仿宋" w:hAnsi="仿宋" w:cs="宋体"/>
                <w:b/>
                <w:bCs/>
                <w:color w:val="000000"/>
                <w:kern w:val="0"/>
                <w:sz w:val="21"/>
                <w:szCs w:val="21"/>
              </w:rPr>
            </w:pPr>
          </w:p>
        </w:tc>
        <w:tc>
          <w:tcPr>
            <w:tcW w:w="949" w:type="pct"/>
            <w:noWrap/>
            <w:vAlign w:val="center"/>
          </w:tcPr>
          <w:p w14:paraId="2AA6E5DC">
            <w:pPr>
              <w:widowControl/>
              <w:spacing w:line="240" w:lineRule="auto"/>
              <w:ind w:firstLine="0" w:firstLineChars="0"/>
              <w:jc w:val="center"/>
              <w:rPr>
                <w:rFonts w:hint="eastAsia" w:ascii="仿宋" w:hAnsi="仿宋" w:cs="宋体"/>
                <w:color w:val="000000"/>
                <w:kern w:val="0"/>
                <w:sz w:val="21"/>
                <w:szCs w:val="21"/>
              </w:rPr>
            </w:pPr>
            <w:r>
              <w:rPr>
                <w:rFonts w:ascii="仿宋" w:hAnsi="仿宋" w:cs="Arial"/>
                <w:kern w:val="0"/>
                <w:sz w:val="21"/>
                <w:szCs w:val="21"/>
              </w:rPr>
              <w:t>包河区福建路以西、方兴大道以北 BH202434</w:t>
            </w:r>
          </w:p>
        </w:tc>
        <w:tc>
          <w:tcPr>
            <w:tcW w:w="433" w:type="pct"/>
            <w:noWrap/>
            <w:vAlign w:val="center"/>
          </w:tcPr>
          <w:p w14:paraId="5FCCFD3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w:t>
            </w:r>
          </w:p>
        </w:tc>
        <w:tc>
          <w:tcPr>
            <w:tcW w:w="604" w:type="pct"/>
            <w:noWrap/>
            <w:vAlign w:val="center"/>
          </w:tcPr>
          <w:p w14:paraId="561B0E1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44,887</w:t>
            </w:r>
          </w:p>
        </w:tc>
        <w:tc>
          <w:tcPr>
            <w:tcW w:w="775" w:type="pct"/>
            <w:noWrap/>
            <w:vAlign w:val="center"/>
          </w:tcPr>
          <w:p w14:paraId="5600726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98,302</w:t>
            </w:r>
          </w:p>
        </w:tc>
        <w:tc>
          <w:tcPr>
            <w:tcW w:w="604" w:type="pct"/>
            <w:noWrap/>
            <w:vAlign w:val="center"/>
          </w:tcPr>
          <w:p w14:paraId="6A31C39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13,687</w:t>
            </w:r>
          </w:p>
        </w:tc>
        <w:tc>
          <w:tcPr>
            <w:tcW w:w="693" w:type="pct"/>
            <w:vMerge w:val="continue"/>
            <w:noWrap/>
            <w:vAlign w:val="center"/>
          </w:tcPr>
          <w:p w14:paraId="12296075">
            <w:pPr>
              <w:widowControl/>
              <w:spacing w:line="240" w:lineRule="auto"/>
              <w:ind w:firstLine="0" w:firstLineChars="0"/>
              <w:jc w:val="center"/>
              <w:rPr>
                <w:rFonts w:hint="eastAsia" w:ascii="仿宋" w:hAnsi="仿宋" w:cs="Arial"/>
                <w:kern w:val="0"/>
                <w:sz w:val="21"/>
                <w:szCs w:val="21"/>
              </w:rPr>
            </w:pPr>
          </w:p>
        </w:tc>
        <w:tc>
          <w:tcPr>
            <w:tcW w:w="514" w:type="pct"/>
            <w:vMerge w:val="continue"/>
            <w:noWrap/>
            <w:vAlign w:val="center"/>
          </w:tcPr>
          <w:p w14:paraId="586631DC">
            <w:pPr>
              <w:widowControl/>
              <w:spacing w:line="240" w:lineRule="auto"/>
              <w:ind w:firstLine="0" w:firstLineChars="0"/>
              <w:jc w:val="center"/>
              <w:rPr>
                <w:rFonts w:hint="eastAsia" w:ascii="仿宋" w:hAnsi="仿宋" w:cs="宋体"/>
                <w:color w:val="000000"/>
                <w:kern w:val="0"/>
                <w:sz w:val="21"/>
                <w:szCs w:val="21"/>
              </w:rPr>
            </w:pPr>
          </w:p>
        </w:tc>
      </w:tr>
      <w:tr w14:paraId="3162D63F">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71" w:hRule="atLeast"/>
          <w:jc w:val="center"/>
        </w:trPr>
        <w:tc>
          <w:tcPr>
            <w:tcW w:w="428" w:type="pct"/>
            <w:noWrap/>
            <w:vAlign w:val="center"/>
          </w:tcPr>
          <w:p w14:paraId="6CF45AB5">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合计</w:t>
            </w:r>
          </w:p>
        </w:tc>
        <w:tc>
          <w:tcPr>
            <w:tcW w:w="949" w:type="pct"/>
            <w:noWrap/>
            <w:vAlign w:val="center"/>
          </w:tcPr>
          <w:p w14:paraId="7548CB5C">
            <w:pPr>
              <w:widowControl/>
              <w:spacing w:line="240" w:lineRule="auto"/>
              <w:ind w:firstLine="0" w:firstLineChars="0"/>
              <w:jc w:val="center"/>
              <w:rPr>
                <w:rFonts w:hint="eastAsia" w:ascii="仿宋" w:hAnsi="仿宋" w:cs="宋体"/>
                <w:color w:val="000000"/>
                <w:kern w:val="0"/>
                <w:sz w:val="21"/>
                <w:szCs w:val="21"/>
              </w:rPr>
            </w:pPr>
          </w:p>
        </w:tc>
        <w:tc>
          <w:tcPr>
            <w:tcW w:w="433" w:type="pct"/>
            <w:noWrap/>
            <w:vAlign w:val="center"/>
          </w:tcPr>
          <w:p w14:paraId="04AE8123">
            <w:pPr>
              <w:widowControl/>
              <w:spacing w:line="240" w:lineRule="auto"/>
              <w:ind w:firstLine="0" w:firstLineChars="0"/>
              <w:jc w:val="center"/>
              <w:rPr>
                <w:rFonts w:hint="eastAsia" w:ascii="仿宋" w:hAnsi="仿宋" w:cs="Times New Roman"/>
                <w:kern w:val="0"/>
                <w:sz w:val="21"/>
                <w:szCs w:val="21"/>
              </w:rPr>
            </w:pPr>
          </w:p>
        </w:tc>
        <w:tc>
          <w:tcPr>
            <w:tcW w:w="604" w:type="pct"/>
            <w:noWrap/>
            <w:vAlign w:val="center"/>
          </w:tcPr>
          <w:p w14:paraId="359CC0C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451,020</w:t>
            </w:r>
          </w:p>
        </w:tc>
        <w:tc>
          <w:tcPr>
            <w:tcW w:w="775" w:type="pct"/>
            <w:noWrap/>
            <w:vAlign w:val="center"/>
          </w:tcPr>
          <w:p w14:paraId="08A9FC5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1,240,739</w:t>
            </w:r>
          </w:p>
        </w:tc>
        <w:tc>
          <w:tcPr>
            <w:tcW w:w="604" w:type="pct"/>
            <w:noWrap/>
            <w:vAlign w:val="center"/>
          </w:tcPr>
          <w:p w14:paraId="7C42689F">
            <w:pPr>
              <w:widowControl/>
              <w:spacing w:line="240" w:lineRule="auto"/>
              <w:ind w:firstLine="0" w:firstLineChars="0"/>
              <w:jc w:val="center"/>
              <w:rPr>
                <w:rFonts w:hint="eastAsia" w:ascii="仿宋" w:hAnsi="仿宋" w:cs="宋体"/>
                <w:color w:val="000000"/>
                <w:kern w:val="0"/>
                <w:sz w:val="21"/>
                <w:szCs w:val="21"/>
              </w:rPr>
            </w:pPr>
          </w:p>
        </w:tc>
        <w:tc>
          <w:tcPr>
            <w:tcW w:w="693" w:type="pct"/>
            <w:vAlign w:val="center"/>
          </w:tcPr>
          <w:p w14:paraId="1AB4A5DB">
            <w:pPr>
              <w:widowControl/>
              <w:spacing w:line="240" w:lineRule="auto"/>
              <w:ind w:firstLine="0" w:firstLineChars="0"/>
              <w:jc w:val="center"/>
              <w:rPr>
                <w:rFonts w:hint="eastAsia" w:ascii="仿宋" w:hAnsi="仿宋" w:cs="Times New Roman"/>
                <w:kern w:val="0"/>
                <w:sz w:val="21"/>
                <w:szCs w:val="21"/>
              </w:rPr>
            </w:pPr>
          </w:p>
        </w:tc>
        <w:tc>
          <w:tcPr>
            <w:tcW w:w="514" w:type="pct"/>
            <w:noWrap/>
            <w:vAlign w:val="center"/>
          </w:tcPr>
          <w:p w14:paraId="1F4B9369">
            <w:pPr>
              <w:widowControl/>
              <w:spacing w:line="240" w:lineRule="auto"/>
              <w:ind w:firstLine="0" w:firstLineChars="0"/>
              <w:jc w:val="center"/>
              <w:rPr>
                <w:rFonts w:hint="eastAsia" w:ascii="仿宋" w:hAnsi="仿宋" w:cs="Times New Roman"/>
                <w:kern w:val="0"/>
                <w:sz w:val="21"/>
                <w:szCs w:val="21"/>
              </w:rPr>
            </w:pPr>
          </w:p>
        </w:tc>
      </w:tr>
    </w:tbl>
    <w:p w14:paraId="2E61C8D2">
      <w:pPr>
        <w:pStyle w:val="48"/>
        <w:ind w:firstLine="420"/>
        <w:rPr>
          <w:rFonts w:hint="eastAsia" w:ascii="仿宋" w:hAnsi="仿宋" w:cs="Arial"/>
          <w:color w:val="222222"/>
          <w:sz w:val="21"/>
          <w:szCs w:val="20"/>
          <w:shd w:val="clear" w:color="auto" w:fill="FFFFFF"/>
          <w:lang w:bidi="ar"/>
        </w:rPr>
      </w:pPr>
      <w:r>
        <w:rPr>
          <w:rFonts w:hint="eastAsia" w:ascii="仿宋" w:hAnsi="仿宋" w:cs="Arial"/>
          <w:color w:val="222222"/>
          <w:sz w:val="21"/>
          <w:szCs w:val="20"/>
          <w:shd w:val="clear" w:color="auto" w:fill="FFFFFF"/>
          <w:lang w:bidi="ar"/>
        </w:rPr>
        <w:t>数据来源：C</w:t>
      </w:r>
      <w:r>
        <w:rPr>
          <w:rFonts w:ascii="仿宋" w:hAnsi="仿宋" w:cs="Arial"/>
          <w:color w:val="222222"/>
          <w:sz w:val="21"/>
          <w:szCs w:val="20"/>
          <w:shd w:val="clear" w:color="auto" w:fill="FFFFFF"/>
          <w:lang w:bidi="ar"/>
        </w:rPr>
        <w:t>RIC</w:t>
      </w:r>
      <w:r>
        <w:rPr>
          <w:rFonts w:hint="eastAsia" w:ascii="仿宋" w:hAnsi="仿宋" w:cs="Arial"/>
          <w:color w:val="222222"/>
          <w:sz w:val="21"/>
          <w:szCs w:val="20"/>
          <w:shd w:val="clear" w:color="auto" w:fill="FFFFFF"/>
          <w:lang w:bidi="ar"/>
        </w:rPr>
        <w:t>、易居研究院</w:t>
      </w:r>
    </w:p>
    <w:p w14:paraId="673080BA">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w:t>
      </w:r>
      <w:r>
        <w:rPr>
          <w:rFonts w:ascii="仿宋" w:hAnsi="仿宋" w:eastAsia="仿宋" w:cs="Arial"/>
          <w:color w:val="222222"/>
          <w:shd w:val="clear" w:color="auto" w:fill="FFFFFF"/>
          <w:lang w:bidi="ar"/>
        </w:rPr>
        <w:t>0月8日，</w:t>
      </w:r>
      <w:r>
        <w:rPr>
          <w:rFonts w:hint="eastAsia" w:ascii="仿宋" w:hAnsi="仿宋" w:eastAsia="仿宋" w:cs="Arial"/>
          <w:color w:val="222222"/>
          <w:shd w:val="clear" w:color="auto" w:fill="FFFFFF"/>
          <w:lang w:bidi="ar"/>
        </w:rPr>
        <w:t>深圳市地铁集团有限公司</w:t>
      </w:r>
      <w:r>
        <w:rPr>
          <w:rFonts w:ascii="仿宋" w:hAnsi="仿宋" w:eastAsia="仿宋" w:cs="Arial"/>
          <w:color w:val="222222"/>
          <w:shd w:val="clear" w:color="auto" w:fill="FFFFFF"/>
          <w:lang w:bidi="ar"/>
        </w:rPr>
        <w:t>66.65亿元竞得</w:t>
      </w:r>
      <w:r>
        <w:rPr>
          <w:rFonts w:hint="eastAsia" w:ascii="仿宋" w:hAnsi="仿宋" w:eastAsia="仿宋" w:cs="Arial"/>
          <w:color w:val="222222"/>
          <w:shd w:val="clear" w:color="auto" w:fill="FFFFFF"/>
          <w:lang w:bidi="ar"/>
        </w:rPr>
        <w:t>深圳</w:t>
      </w:r>
      <w:r>
        <w:rPr>
          <w:rFonts w:ascii="仿宋" w:hAnsi="仿宋" w:eastAsia="仿宋" w:cs="Arial"/>
          <w:color w:val="222222"/>
          <w:shd w:val="clear" w:color="auto" w:fill="FFFFFF"/>
          <w:lang w:bidi="ar"/>
        </w:rPr>
        <w:t>机场东车辆段综合开发项目（A219-0080地块）。机场东车辆段综合开发项目位于宝安区航城和福永街道交界处，紧邻地铁12号线兴围站，总建筑面积约28.99万平方米</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将秉持“TOD”综合发展理念，整合车辆段、轨道站点、约6.9万平方米运动公园、山海连城景观资源、文化教育城及特色商业街等优质资源，打造高品质“TOD”低密舒居示范项目。</w:t>
      </w:r>
    </w:p>
    <w:p w14:paraId="79828650">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31日，合肥市轨道交通集团有限公司成功竞得5幅住宅地块，总成交金额达到57.4亿元。这些地块位于包河区，包含2宗商住混合用地和3宗纯居住用地，总面积超过400亩。地块位置优越，紧邻省政务中心，并且与地铁5号线和7号线（在建）等轨道交通站点相连，计划围绕地铁站核心，构建集商业、办公、住宅、公寓、酒店及多元配套于一体的生活场景，以实现全维度覆盖。</w:t>
      </w:r>
    </w:p>
    <w:p w14:paraId="717F865B">
      <w:pPr>
        <w:pStyle w:val="2"/>
        <w:numPr>
          <w:ilvl w:val="0"/>
          <w:numId w:val="4"/>
        </w:numPr>
        <w:rPr>
          <w:rFonts w:hint="eastAsia" w:ascii="仿宋" w:hAnsi="仿宋" w:cs="Arial"/>
          <w:color w:val="222222"/>
          <w:kern w:val="0"/>
          <w:szCs w:val="24"/>
          <w:shd w:val="clear" w:color="auto" w:fill="FFFFFF"/>
          <w:lang w:bidi="ar"/>
        </w:rPr>
      </w:pPr>
      <w:bookmarkStart w:id="45" w:name="_Toc182576447"/>
      <w:r>
        <w:rPr>
          <w:rFonts w:ascii="仿宋" w:hAnsi="仿宋" w:cs="Arial"/>
          <w:color w:val="222222"/>
          <w:kern w:val="0"/>
          <w:szCs w:val="24"/>
          <w:shd w:val="clear" w:color="auto" w:fill="FFFFFF"/>
          <w:lang w:bidi="ar"/>
        </w:rPr>
        <w:t>广东深南铁路公司在深圳揭牌成立</w:t>
      </w:r>
      <w:bookmarkEnd w:id="45"/>
    </w:p>
    <w:p w14:paraId="4452425A">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11日，广东深南铁路公司在深圳揭牌成立。该公司由省铁投集团联合深圳市地铁集团有限公司、肇庆市轨道交通发展有限公司、佛山市地铁集团有限公司、中铁建华南投资有限公司、中国建筑股份有限公司、中交一公局集团有限公司和广东省建筑工程集团股份有限公司共同组建，8家股东单位代表在深圳共同出席成立仪式，并揭牌见证。广东深南铁路公司负责深圳至南宁高铁珠三角枢纽机场至粤桂省界段(以下简称深南高铁)项目资金筹措、建设实施和生产经营等。深南高铁自珠三角机场站引出后，经佛山、肇庆、云浮至粤桂省界，线路全长142.37km。此次广东深南铁路公司揭牌成立对于加快深南高铁项目建设具有重要意义。</w:t>
      </w:r>
    </w:p>
    <w:p w14:paraId="34F0FD1D">
      <w:pPr>
        <w:pStyle w:val="2"/>
        <w:numPr>
          <w:ilvl w:val="0"/>
          <w:numId w:val="4"/>
        </w:numPr>
        <w:rPr>
          <w:rFonts w:hint="eastAsia" w:ascii="仿宋" w:hAnsi="仿宋" w:cs="Arial"/>
          <w:color w:val="222222"/>
          <w:kern w:val="0"/>
          <w:szCs w:val="24"/>
          <w:shd w:val="clear" w:color="auto" w:fill="FFFFFF"/>
          <w:lang w:bidi="ar"/>
        </w:rPr>
      </w:pPr>
      <w:bookmarkStart w:id="46" w:name="_Toc182576448"/>
      <w:r>
        <w:rPr>
          <w:rFonts w:hint="eastAsia" w:ascii="仿宋" w:hAnsi="仿宋" w:cs="Arial"/>
          <w:color w:val="222222"/>
          <w:kern w:val="0"/>
          <w:szCs w:val="24"/>
          <w:shd w:val="clear" w:color="auto" w:fill="FFFFFF"/>
          <w:lang w:bidi="ar"/>
        </w:rPr>
        <w:t>天津轨道交通集团与河东区对接推动城市更新重点项目</w:t>
      </w:r>
      <w:bookmarkEnd w:id="46"/>
    </w:p>
    <w:p w14:paraId="46CCD56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16日，在津龙湾TOD文化广场，天津轨道交通集团党委书记、董事长吴秉军一行，与河东区委书记周波、区委副书记、区长于瑞均一行，共同对接推动城市更新重点项目。对接会上，轨道交通集团重点介绍了河东区津龙湾、井冈山路2个城市更新项目的建设进展、工作计划，以及需要协调解决的问题。河东区对轨道交通集团推进城市更新项目、改善河东整体城市环境的成效表示感谢，充分肯定了当前项目的工作进展，梳理了近期需要解决的问题，并就下一步推进教育资源引入、加快项目前期手续、联合开展项目招商等工作进行了有效对接。目前，轨道交通集团在河东区开展的津龙湾城市更新项目TOD文化广场向市民开放，交付5个老旧小区改造工程；井冈山路城市更新项目全面启动15个老旧小区改造，新建“津铁</w:t>
      </w:r>
      <w:r>
        <w:rPr>
          <w:rFonts w:hint="eastAsia" w:ascii="微软雅黑" w:hAnsi="微软雅黑" w:eastAsia="微软雅黑" w:cs="微软雅黑"/>
          <w:color w:val="222222"/>
          <w:shd w:val="clear" w:color="auto" w:fill="FFFFFF"/>
          <w:lang w:bidi="ar"/>
        </w:rPr>
        <w:t>•</w:t>
      </w:r>
      <w:r>
        <w:rPr>
          <w:rFonts w:ascii="仿宋" w:hAnsi="仿宋" w:eastAsia="仿宋" w:cs="Arial"/>
          <w:color w:val="222222"/>
          <w:shd w:val="clear" w:color="auto" w:fill="FFFFFF"/>
          <w:lang w:bidi="ar"/>
        </w:rPr>
        <w:t>格调罗宁花园”案名发布。</w:t>
      </w:r>
    </w:p>
    <w:p w14:paraId="0ED42F11">
      <w:pPr>
        <w:pStyle w:val="2"/>
        <w:numPr>
          <w:ilvl w:val="0"/>
          <w:numId w:val="4"/>
        </w:numPr>
        <w:rPr>
          <w:rFonts w:hint="eastAsia" w:ascii="仿宋" w:hAnsi="仿宋" w:cs="Arial"/>
          <w:color w:val="222222"/>
          <w:kern w:val="0"/>
          <w:szCs w:val="24"/>
          <w:shd w:val="clear" w:color="auto" w:fill="FFFFFF"/>
          <w:lang w:bidi="ar"/>
        </w:rPr>
      </w:pPr>
      <w:bookmarkStart w:id="47" w:name="_Toc182576449"/>
      <w:r>
        <w:rPr>
          <w:rFonts w:ascii="仿宋" w:hAnsi="仿宋" w:cs="Arial"/>
          <w:color w:val="222222"/>
          <w:kern w:val="0"/>
          <w:szCs w:val="24"/>
          <w:shd w:val="clear" w:color="auto" w:fill="FFFFFF"/>
          <w:lang w:bidi="ar"/>
        </w:rPr>
        <w:t>成都公交集团发布公交TOD保障性租赁住房品牌——锦安居</w:t>
      </w:r>
      <w:bookmarkEnd w:id="47"/>
    </w:p>
    <w:p w14:paraId="128BBD5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10月16日，成都公交集团正式发布了公交TOD保障性租赁住房品牌——“锦安居”，</w:t>
      </w:r>
      <w:r>
        <w:rPr>
          <w:rFonts w:hint="eastAsia" w:ascii="仿宋" w:hAnsi="仿宋" w:eastAsia="仿宋" w:cs="Arial"/>
          <w:color w:val="222222"/>
          <w:shd w:val="clear" w:color="auto" w:fill="FFFFFF"/>
          <w:lang w:bidi="ar"/>
        </w:rPr>
        <w:t>其首个位于吉龙二街的TOD项目已竣工，将在年底入市投用。“锦安居”系列产品都是高效利用成都公交集团场站土地资源，构建了“公交场站+社区商业+保障性住房”的创新模式，即以丰富公交新场景资源优势为依托，营造集“智慧交通、多域社群、幸福安居”于一体的智慧交通未来社区，构建无缝衔接社区、轨网、学校、医院等节点的智慧公共交通体系，结合社区商业开发，形成配套功能完善的社群生活空间，为市民提供宜居宜行宜人的美好绿色生活。成都公交TOD是以“公交场站+社区商业+保障性住房”的创新模式，利用公交城市“毛细血管”的作用，串联社区、轨网、医院等功能区，打造“一体化都市微社区”。</w:t>
      </w:r>
    </w:p>
    <w:p w14:paraId="7E522E60">
      <w:pPr>
        <w:pStyle w:val="2"/>
        <w:numPr>
          <w:ilvl w:val="0"/>
          <w:numId w:val="4"/>
        </w:numPr>
        <w:rPr>
          <w:rFonts w:hint="eastAsia" w:ascii="仿宋" w:hAnsi="仿宋" w:cs="Arial"/>
          <w:color w:val="222222"/>
          <w:kern w:val="0"/>
          <w:szCs w:val="24"/>
          <w:shd w:val="clear" w:color="auto" w:fill="FFFFFF"/>
          <w:lang w:bidi="ar"/>
        </w:rPr>
      </w:pPr>
      <w:bookmarkStart w:id="48" w:name="_Toc182576450"/>
      <w:r>
        <w:rPr>
          <w:rFonts w:ascii="仿宋" w:hAnsi="仿宋" w:cs="Arial"/>
          <w:color w:val="222222"/>
          <w:kern w:val="0"/>
          <w:szCs w:val="24"/>
          <w:shd w:val="clear" w:color="auto" w:fill="FFFFFF"/>
          <w:lang w:bidi="ar"/>
        </w:rPr>
        <w:t>合肥轨道发布方兴湖片区TOD综合开发城市设计招标公告</w:t>
      </w:r>
      <w:bookmarkEnd w:id="48"/>
    </w:p>
    <w:p w14:paraId="31CA1C4D">
      <w:pPr>
        <w:pStyle w:val="21"/>
        <w:spacing w:before="0" w:beforeAutospacing="0" w:after="0" w:afterAutospacing="0" w:line="360" w:lineRule="auto"/>
        <w:ind w:firstLine="480"/>
        <w:jc w:val="both"/>
        <w:rPr>
          <w:rFonts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28日，合肥轨道发布方兴湖片区TOD综合开发城市设计招标公告，招标范围为：方兴湖片区总规划范围面积约15.15平方公里，重点针对未建设地块开展城市设计，包含总建筑面积不低于416.77万平方米的建筑概念方案设计，同时针对整个片区开展规划研究、策划咨询等工作。建设规模：锦绣大道-南淝河路-方兴大道-杭州路-华山路-嵩山路围合区域，面积约15.15平方公里，范围结合巢湖水环境一级保护区适当外延。投标文件递交的截止时间为2024年11月18日11时。</w:t>
      </w:r>
    </w:p>
    <w:p w14:paraId="78FE9205">
      <w:pPr>
        <w:pStyle w:val="21"/>
        <w:spacing w:before="0" w:beforeAutospacing="0" w:after="0" w:afterAutospacing="0" w:line="360" w:lineRule="auto"/>
        <w:ind w:firstLine="480"/>
        <w:rPr>
          <w:rFonts w:hint="eastAsia" w:ascii="仿宋" w:hAnsi="仿宋" w:eastAsia="仿宋" w:cs="Arial"/>
          <w:color w:val="222222"/>
          <w:shd w:val="clear" w:color="auto" w:fill="FFFFFF"/>
          <w:lang w:bidi="ar"/>
        </w:rPr>
      </w:pPr>
    </w:p>
    <w:p w14:paraId="0F01C36A">
      <w:pPr>
        <w:pStyle w:val="48"/>
        <w:ind w:firstLine="480"/>
        <w:rPr>
          <w:shd w:val="clear" w:color="auto" w:fill="FFFFFF"/>
          <w:lang w:bidi="ar"/>
        </w:rPr>
      </w:pPr>
    </w:p>
    <w:bookmarkEnd w:id="44"/>
    <w:p w14:paraId="731A6D0D">
      <w:pPr>
        <w:ind w:firstLine="480"/>
        <w:rPr>
          <w:rFonts w:hint="eastAsia" w:ascii="仿宋" w:hAnsi="仿宋"/>
        </w:rPr>
        <w:sectPr>
          <w:pgSz w:w="11906" w:h="16838"/>
          <w:pgMar w:top="1440" w:right="1800" w:bottom="1440" w:left="1800" w:header="1474" w:footer="964" w:gutter="0"/>
          <w:cols w:space="425" w:num="1"/>
          <w:docGrid w:type="lines" w:linePitch="326" w:charSpace="0"/>
        </w:sectPr>
      </w:pPr>
    </w:p>
    <w:p w14:paraId="01ADB065">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49" w:name="_Toc182576451"/>
      <w:r>
        <w:rPr>
          <w:rFonts w:hint="eastAsia" w:ascii="黑体" w:hAnsi="黑体" w:eastAsia="黑体" w:cs="Times New Roman"/>
          <w:color w:val="5B9BD5" w:themeColor="accent5"/>
          <w:kern w:val="44"/>
          <w:sz w:val="28"/>
          <w14:textFill>
            <w14:solidFill>
              <w14:schemeClr w14:val="accent5"/>
            </w14:solidFill>
          </w14:textFill>
        </w:rPr>
        <w:t>四</w:t>
      </w:r>
      <w:r>
        <w:rPr>
          <w:rFonts w:ascii="黑体" w:hAnsi="黑体" w:eastAsia="黑体" w:cs="Times New Roman"/>
          <w:color w:val="5B9BD5" w:themeColor="accent5"/>
          <w:kern w:val="44"/>
          <w:sz w:val="28"/>
          <w14:textFill>
            <w14:solidFill>
              <w14:schemeClr w14:val="accent5"/>
            </w14:solidFill>
          </w14:textFill>
        </w:rPr>
        <w:t>、项目动态</w:t>
      </w:r>
      <w:bookmarkEnd w:id="49"/>
    </w:p>
    <w:p w14:paraId="389E0A72">
      <w:pPr>
        <w:pStyle w:val="2"/>
        <w:numPr>
          <w:ilvl w:val="0"/>
          <w:numId w:val="5"/>
        </w:numPr>
        <w:rPr>
          <w:rFonts w:hint="eastAsia" w:ascii="仿宋" w:hAnsi="仿宋" w:cs="Arial"/>
          <w:color w:val="222222"/>
          <w:kern w:val="0"/>
          <w:szCs w:val="24"/>
          <w:shd w:val="clear" w:color="auto" w:fill="FFFFFF"/>
          <w:lang w:bidi="ar"/>
        </w:rPr>
      </w:pPr>
      <w:bookmarkStart w:id="50" w:name="_Toc182576452"/>
      <w:r>
        <w:rPr>
          <w:rFonts w:hint="eastAsia" w:ascii="仿宋" w:hAnsi="仿宋" w:cs="Arial"/>
          <w:color w:val="222222"/>
          <w:kern w:val="0"/>
          <w:szCs w:val="24"/>
          <w:shd w:val="clear" w:color="auto" w:fill="FFFFFF"/>
          <w:lang w:bidi="ar"/>
        </w:rPr>
        <w:t>北京大兴首创光合中心商业正式</w:t>
      </w:r>
      <w:r>
        <w:rPr>
          <w:rFonts w:hint="eastAsia" w:ascii="仿宋" w:hAnsi="仿宋" w:cs="Arial"/>
          <w:color w:val="000000" w:themeColor="text1"/>
          <w:szCs w:val="28"/>
          <w:shd w:val="clear" w:color="auto" w:fill="FFFFFF"/>
          <w14:textFill>
            <w14:solidFill>
              <w14:schemeClr w14:val="tx1"/>
            </w14:solidFill>
          </w14:textFill>
        </w:rPr>
        <w:t>签约</w:t>
      </w:r>
      <w:r>
        <w:rPr>
          <w:rFonts w:hint="eastAsia" w:ascii="仿宋" w:hAnsi="仿宋" w:cs="Arial"/>
          <w:color w:val="222222"/>
          <w:kern w:val="0"/>
          <w:szCs w:val="24"/>
          <w:shd w:val="clear" w:color="auto" w:fill="FFFFFF"/>
          <w:lang w:bidi="ar"/>
        </w:rPr>
        <w:t>落地</w:t>
      </w:r>
      <w:bookmarkEnd w:id="50"/>
    </w:p>
    <w:p w14:paraId="22039574">
      <w:pPr>
        <w:pStyle w:val="21"/>
        <w:spacing w:before="0" w:beforeAutospacing="0" w:after="0" w:afterAutospacing="0" w:line="360" w:lineRule="auto"/>
        <w:ind w:firstLine="480"/>
        <w:jc w:val="both"/>
        <w:rPr>
          <w:rFonts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近日，首创城发集团、雪花公司与新辰商业集团签署合作协议，又一大型商业综合体——首创光合中心正式落地，大兴商业即将迎来新动能。首创光合中心位于地铁大兴线沿线，清源路以南。有别于传统商业体，首创光合中心以公共交通为导向开发，叠加新兴消费空间体验、临空产业发展等优势元素。项目建筑面积约22万平方米，涵盖甲级写字楼、新潮街区式商业中心、星级酒店、轻奢公寓及相关附属配套，不断延展复合空间，实现功能串联，一站式解决办公、娱乐、餐饮、居住等需求，助推区域商业版图升级。</w:t>
      </w:r>
    </w:p>
    <w:p w14:paraId="7E89350A">
      <w:pPr>
        <w:pStyle w:val="48"/>
        <w:ind w:firstLine="480"/>
        <w:jc w:val="center"/>
      </w:pPr>
      <w:r>
        <w:fldChar w:fldCharType="begin"/>
      </w:r>
      <w:r>
        <w:instrText xml:space="preserve">INCLUDEPICTURE \d "https://mmbiz.qpic.cn/sz_mmbiz_png/WgD61wWibEUnmvQ1nPoERwibvv7CTibOVGYLXXhjzeeibg0gGvYYaWeXdicTG6REiaT7tZEspfTXjlI5deqs7Dc6ia0pQ/640?wx_fmt=png&amp;from=appmsg&amp;tp=webp&amp;wxfrom=5&amp;wx_lazy=1&amp;wx_co=1" \* MERGEFORMATINET </w:instrText>
      </w:r>
      <w:r>
        <w:fldChar w:fldCharType="separate"/>
      </w:r>
      <w:r>
        <w:rPr>
          <w:rFonts w:hint="eastAsia"/>
        </w:rPr>
        <w:fldChar w:fldCharType="begin"/>
      </w:r>
      <w:r>
        <w:rPr>
          <w:rFonts w:hint="eastAsia"/>
        </w:rPr>
        <w:instrText xml:space="preserve"> INCLUDEPICTURE  "https://mmbiz.qpic.cn/sz_mmbiz_png/WgD61wWibEUnmvQ1nPoERwibvv7CTibOVGYLXXhjzeeibg0gGvYYaWeXdicTG6REiaT7tZEspfTXjlI5deqs7Dc6ia0pQ/640?wx_fmt=png&amp;from=appmsg&amp;tp=webp&amp;wxfrom=5&amp;wx_lazy=1&amp;wx_co=1" \* MERGEFORMATINET </w:instrText>
      </w:r>
      <w:r>
        <w:rPr>
          <w:rFonts w:hint="eastAsia"/>
        </w:rPr>
        <w:fldChar w:fldCharType="separate"/>
      </w:r>
      <w:r>
        <w:rPr>
          <w:rFonts w:hint="eastAsia"/>
        </w:rPr>
        <w:fldChar w:fldCharType="begin"/>
      </w:r>
      <w:r>
        <w:rPr>
          <w:rFonts w:hint="eastAsia"/>
        </w:rPr>
        <w:instrText xml:space="preserve"> INCLUDEPICTURE  "https://mmbiz.qpic.cn/sz_mmbiz_png/WgD61wWibEUnmvQ1nPoERwibvv7CTibOVGYLXXhjzeeibg0gGvYYaWeXdicTG6REiaT7tZEspfTXjlI5deqs7Dc6ia0pQ/640?wx_fmt=png&amp;from=appmsg&amp;tp=webp&amp;wxfrom=5&amp;wx_lazy=1&amp;wx_co=1" \* MERGEFORMATINET </w:instrText>
      </w:r>
      <w:r>
        <w:rPr>
          <w:rFonts w:hint="eastAsia"/>
        </w:rPr>
        <w:fldChar w:fldCharType="separate"/>
      </w:r>
      <w:r>
        <w:rPr>
          <w:rFonts w:hint="eastAsia"/>
        </w:rPr>
        <w:fldChar w:fldCharType="begin"/>
      </w:r>
      <w:r>
        <w:rPr>
          <w:rFonts w:hint="eastAsia"/>
        </w:rPr>
        <w:instrText xml:space="preserve"> INCLUDEPICTURE  "https://mmbiz.qpic.cn/sz_mmbiz_png/WgD61wWibEUnmvQ1nPoERwibvv7CTibOVGYLXXhjzeeibg0gGvYYaWeXdicTG6REiaT7tZEspfTXjlI5deqs7Dc6ia0pQ/640?wx_fmt=png&amp;from=appmsg&amp;tp=webp&amp;wxfrom=5&amp;wx_lazy=1&amp;wx_co=1" \* MERGEFORMATINET </w:instrText>
      </w:r>
      <w:r>
        <w:rPr>
          <w:rFonts w:hint="eastAsia"/>
        </w:rPr>
        <w:fldChar w:fldCharType="separate"/>
      </w:r>
      <w:r>
        <w:rPr>
          <w:rFonts w:hint="eastAsia"/>
        </w:rPr>
        <w:fldChar w:fldCharType="begin"/>
      </w:r>
      <w:r>
        <w:rPr>
          <w:rFonts w:hint="eastAsia"/>
        </w:rPr>
        <w:instrText xml:space="preserve"> INCLUDEPICTURE  "https://mmbiz.qpic.cn/sz_mmbiz_png/WgD61wWibEUnmvQ1nPoERwibvv7CTibOVGYLXXhjzeeibg0gGvYYaWeXdicTG6REiaT7tZEspfTXjlI5deqs7Dc6ia0pQ/640?wx_fmt=png&amp;from=appmsg&amp;tp=webp&amp;wxfrom=5&amp;wx_lazy=1&amp;wx_co=1" \* MERGEFORMATINET </w:instrText>
      </w:r>
      <w:r>
        <w:rPr>
          <w:rFonts w:hint="eastAsia"/>
        </w:rPr>
        <w:fldChar w:fldCharType="separate"/>
      </w:r>
      <w:r>
        <w:pict>
          <v:shape id="_x0000_i1025" o:spt="75" type="#_x0000_t75" style="height:157.3pt;width:254.65pt;" filled="f" o:preferrelative="t" stroked="f" coordsize="21600,21600">
            <v:path/>
            <v:fill on="f" focussize="0,0"/>
            <v:stroke on="f" joinstyle="miter"/>
            <v:imagedata r:id="rId15" r:href="rId16" o:title=""/>
            <o:lock v:ext="edit" grouping="t" aspectratio="t"/>
            <w10:wrap type="none"/>
            <w10:anchorlock/>
          </v:shape>
        </w:pict>
      </w:r>
      <w:r>
        <w:rPr>
          <w:rFonts w:hint="eastAsia"/>
        </w:rPr>
        <w:fldChar w:fldCharType="end"/>
      </w:r>
      <w:r>
        <w:rPr>
          <w:rFonts w:hint="eastAsia"/>
        </w:rPr>
        <w:fldChar w:fldCharType="end"/>
      </w:r>
      <w:r>
        <w:rPr>
          <w:rFonts w:hint="eastAsia"/>
        </w:rPr>
        <w:fldChar w:fldCharType="end"/>
      </w:r>
      <w:r>
        <w:rPr>
          <w:rFonts w:hint="eastAsia"/>
        </w:rPr>
        <w:fldChar w:fldCharType="end"/>
      </w:r>
      <w:r>
        <w:fldChar w:fldCharType="end"/>
      </w:r>
    </w:p>
    <w:p w14:paraId="70C4BFC9">
      <w:pPr>
        <w:pStyle w:val="48"/>
        <w:ind w:firstLine="480"/>
        <w:jc w:val="center"/>
        <w:rPr>
          <w:rFonts w:hint="eastAsia"/>
        </w:rPr>
      </w:pPr>
      <w:r>
        <w:rPr>
          <w:rFonts w:hint="eastAsia" w:ascii="仿宋" w:hAnsi="仿宋" w:cs="Arial"/>
          <w:color w:val="222222"/>
          <w:shd w:val="clear" w:color="auto" w:fill="FFFFFF"/>
          <w:lang w:bidi="ar"/>
        </w:rPr>
        <w:t>图：北京大兴首创光合中心</w:t>
      </w:r>
    </w:p>
    <w:p w14:paraId="197C00FE">
      <w:pPr>
        <w:pStyle w:val="2"/>
        <w:numPr>
          <w:ilvl w:val="0"/>
          <w:numId w:val="5"/>
        </w:numPr>
        <w:rPr>
          <w:rFonts w:hint="eastAsia" w:ascii="仿宋" w:hAnsi="仿宋" w:cs="Arial"/>
          <w:color w:val="222222"/>
          <w:kern w:val="0"/>
          <w:szCs w:val="24"/>
          <w:shd w:val="clear" w:color="auto" w:fill="FFFFFF"/>
          <w:lang w:bidi="ar"/>
        </w:rPr>
      </w:pPr>
      <w:bookmarkStart w:id="51" w:name="_Toc182576453"/>
      <w:r>
        <w:rPr>
          <w:rFonts w:hint="eastAsia" w:ascii="仿宋" w:hAnsi="仿宋" w:cs="Arial"/>
          <w:color w:val="222222"/>
          <w:kern w:val="0"/>
          <w:szCs w:val="24"/>
          <w:shd w:val="clear" w:color="auto" w:fill="FFFFFF"/>
          <w:lang w:bidi="ar"/>
        </w:rPr>
        <w:t>上海首个双湖TOD商业综合体-中集美兰湖金地广场正式开业</w:t>
      </w:r>
      <w:bookmarkEnd w:id="51"/>
    </w:p>
    <w:p w14:paraId="453EC71F">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10月26日，</w:t>
      </w:r>
      <w:bookmarkStart w:id="52" w:name="_Hlk182557507"/>
      <w:r>
        <w:rPr>
          <w:rFonts w:hint="eastAsia" w:ascii="仿宋" w:hAnsi="仿宋" w:eastAsia="仿宋" w:cs="Arial"/>
          <w:color w:val="222222"/>
          <w:shd w:val="clear" w:color="auto" w:fill="FFFFFF"/>
          <w:lang w:bidi="ar"/>
        </w:rPr>
        <w:t>上海首个双湖TOD商业综合体——中集美兰湖金地广场正式开业。中集美兰湖金地广场定位“北上海美好生活欢聚场”，</w:t>
      </w:r>
      <w:bookmarkEnd w:id="52"/>
      <w:r>
        <w:rPr>
          <w:rFonts w:ascii="仿宋" w:hAnsi="仿宋" w:eastAsia="仿宋" w:cs="Arial"/>
          <w:color w:val="222222"/>
          <w:shd w:val="clear" w:color="auto" w:fill="FFFFFF"/>
          <w:lang w:bidi="ar"/>
        </w:rPr>
        <w:t>与</w:t>
      </w:r>
      <w:r>
        <w:rPr>
          <w:rFonts w:hint="eastAsia" w:ascii="仿宋" w:hAnsi="仿宋" w:eastAsia="仿宋" w:cs="Arial"/>
          <w:color w:val="222222"/>
          <w:shd w:val="clear" w:color="auto" w:fill="FFFFFF"/>
          <w:lang w:bidi="ar"/>
        </w:rPr>
        <w:t>7号线</w:t>
      </w:r>
      <w:r>
        <w:rPr>
          <w:rFonts w:ascii="仿宋" w:hAnsi="仿宋" w:eastAsia="仿宋" w:cs="Arial"/>
          <w:color w:val="222222"/>
          <w:shd w:val="clear" w:color="auto" w:fill="FFFFFF"/>
          <w:lang w:bidi="ar"/>
        </w:rPr>
        <w:t>美兰湖地铁站无缝衔接，由两座盒子MALL、两条商业街组成，商业总面积13.5万平方米。该项目定位为北上海美好生活欢聚场，立足打造一站式购物休闲新地标，涵盖潮流零售、品质餐饮、娱乐体验、超市、影院、儿童亲子等丰富业态，引入中影国际影城、盒马鲜生、星聚会KTV、NITORI、优衣库、卡通尼乐园等品牌。</w:t>
      </w:r>
      <w:r>
        <w:rPr>
          <w:rFonts w:hint="eastAsia" w:ascii="仿宋" w:hAnsi="仿宋" w:eastAsia="仿宋" w:cs="Arial"/>
          <w:color w:val="222222"/>
          <w:shd w:val="clear" w:color="auto" w:fill="FFFFFF"/>
          <w:lang w:bidi="ar"/>
        </w:rPr>
        <w:t>据不完全统计，开业当日场内200余家品牌、近40家全国首店、城市首店及区域首店重磅亮相。</w:t>
      </w:r>
    </w:p>
    <w:p w14:paraId="1469C89B">
      <w:pPr>
        <w:pStyle w:val="48"/>
        <w:ind w:firstLine="480"/>
        <w:jc w:val="center"/>
      </w:pPr>
      <w:r>
        <w:fldChar w:fldCharType="begin"/>
      </w:r>
      <w:r>
        <w:instrText xml:space="preserve">INCLUDEPICTURE \d "https://mmbiz.qpic.cn/sz_mmbiz_png/d7BjJNuaHH7hfkfKj486MGCWFicEP1nxW82zrTVxtNPzARp6DjVfbKic6gRIO5DbCIiaXTNuj1Bu4UfVNF5NdpQZA/640?wx_fmt=png&amp;from=appmsg&amp;tp=webp&amp;wxfrom=5&amp;wx_lazy=1&amp;wx_co=1" \* MERGEFORMATINET </w:instrText>
      </w:r>
      <w:r>
        <w:fldChar w:fldCharType="separate"/>
      </w:r>
      <w:r>
        <w:rPr>
          <w:rFonts w:hint="eastAsia"/>
        </w:rPr>
        <w:fldChar w:fldCharType="begin"/>
      </w:r>
      <w:r>
        <w:rPr>
          <w:rFonts w:hint="eastAsia"/>
        </w:rPr>
        <w:instrText xml:space="preserve"> INCLUDEPICTURE  "https://mmbiz.qpic.cn/sz_mmbiz_png/d7BjJNuaHH7hfkfKj486MGCWFicEP1nxW82zrTVxtNPzARp6DjVfbKic6gRIO5DbCIiaXTNuj1Bu4UfVNF5NdpQZA/640?wx_fmt=png&amp;from=appmsg&amp;tp=webp&amp;wxfrom=5&amp;wx_lazy=1&amp;wx_co=1" \* MERGEFORMATINET </w:instrText>
      </w:r>
      <w:r>
        <w:rPr>
          <w:rFonts w:hint="eastAsia"/>
        </w:rPr>
        <w:fldChar w:fldCharType="separate"/>
      </w:r>
      <w:r>
        <w:rPr>
          <w:rFonts w:hint="eastAsia"/>
        </w:rPr>
        <w:fldChar w:fldCharType="begin"/>
      </w:r>
      <w:r>
        <w:rPr>
          <w:rFonts w:hint="eastAsia"/>
        </w:rPr>
        <w:instrText xml:space="preserve"> INCLUDEPICTURE  "https://mmbiz.qpic.cn/sz_mmbiz_png/d7BjJNuaHH7hfkfKj486MGCWFicEP1nxW82zrTVxtNPzARp6DjVfbKic6gRIO5DbCIiaXTNuj1Bu4UfVNF5NdpQZA/640?wx_fmt=png&amp;from=appmsg&amp;tp=webp&amp;wxfrom=5&amp;wx_lazy=1&amp;wx_co=1" \* MERGEFORMATINET </w:instrText>
      </w:r>
      <w:r>
        <w:rPr>
          <w:rFonts w:hint="eastAsia"/>
        </w:rPr>
        <w:fldChar w:fldCharType="separate"/>
      </w:r>
      <w:r>
        <w:rPr>
          <w:rFonts w:hint="eastAsia"/>
        </w:rPr>
        <w:fldChar w:fldCharType="begin"/>
      </w:r>
      <w:r>
        <w:rPr>
          <w:rFonts w:hint="eastAsia"/>
        </w:rPr>
        <w:instrText xml:space="preserve"> INCLUDEPICTURE  "https://mmbiz.qpic.cn/sz_mmbiz_png/d7BjJNuaHH7hfkfKj486MGCWFicEP1nxW82zrTVxtNPzARp6DjVfbKic6gRIO5DbCIiaXTNuj1Bu4UfVNF5NdpQZA/640?wx_fmt=png&amp;from=appmsg&amp;tp=webp&amp;wxfrom=5&amp;wx_lazy=1&amp;wx_co=1" \* MERGEFORMATINET </w:instrText>
      </w:r>
      <w:r>
        <w:rPr>
          <w:rFonts w:hint="eastAsia"/>
        </w:rPr>
        <w:fldChar w:fldCharType="separate"/>
      </w:r>
      <w:r>
        <w:rPr>
          <w:rFonts w:hint="eastAsia"/>
        </w:rPr>
        <w:fldChar w:fldCharType="begin"/>
      </w:r>
      <w:r>
        <w:rPr>
          <w:rFonts w:hint="eastAsia"/>
        </w:rPr>
        <w:instrText xml:space="preserve"> INCLUDEPICTURE  "https://mmbiz.qpic.cn/sz_mmbiz_png/d7BjJNuaHH7hfkfKj486MGCWFicEP1nxW82zrTVxtNPzARp6DjVfbKic6gRIO5DbCIiaXTNuj1Bu4UfVNF5NdpQZA/640?wx_fmt=png&amp;from=appmsg&amp;tp=webp&amp;wxfrom=5&amp;wx_lazy=1&amp;wx_co=1" \* MERGEFORMATINET </w:instrText>
      </w:r>
      <w:r>
        <w:rPr>
          <w:rFonts w:hint="eastAsia"/>
        </w:rPr>
        <w:fldChar w:fldCharType="separate"/>
      </w:r>
      <w:r>
        <w:pict>
          <v:shape id="_x0000_i1026" o:spt="75" type="#_x0000_t75" style="height:156pt;width:255.2pt;" filled="f" o:preferrelative="t" stroked="f" coordsize="21600,21600">
            <v:path/>
            <v:fill on="f" focussize="0,0"/>
            <v:stroke on="f" joinstyle="miter"/>
            <v:imagedata r:id="rId17" r:href="rId18" o:title=""/>
            <o:lock v:ext="edit" grouping="t" aspectratio="t"/>
            <w10:wrap type="none"/>
            <w10:anchorlock/>
          </v:shape>
        </w:pict>
      </w:r>
      <w:r>
        <w:rPr>
          <w:rFonts w:hint="eastAsia"/>
        </w:rPr>
        <w:fldChar w:fldCharType="end"/>
      </w:r>
      <w:r>
        <w:rPr>
          <w:rFonts w:hint="eastAsia"/>
        </w:rPr>
        <w:fldChar w:fldCharType="end"/>
      </w:r>
      <w:r>
        <w:rPr>
          <w:rFonts w:hint="eastAsia"/>
        </w:rPr>
        <w:fldChar w:fldCharType="end"/>
      </w:r>
      <w:r>
        <w:rPr>
          <w:rFonts w:hint="eastAsia"/>
        </w:rPr>
        <w:fldChar w:fldCharType="end"/>
      </w:r>
      <w:r>
        <w:fldChar w:fldCharType="end"/>
      </w:r>
    </w:p>
    <w:p w14:paraId="39419BB4">
      <w:pPr>
        <w:pStyle w:val="48"/>
        <w:ind w:firstLine="480"/>
        <w:jc w:val="center"/>
        <w:rPr>
          <w:rFonts w:hint="eastAsia"/>
        </w:rPr>
      </w:pPr>
      <w:r>
        <w:rPr>
          <w:rFonts w:hint="eastAsia"/>
        </w:rPr>
        <w:t>图：</w:t>
      </w:r>
      <w:r>
        <w:rPr>
          <w:rFonts w:hint="eastAsia" w:ascii="仿宋" w:hAnsi="仿宋" w:cs="Arial"/>
          <w:color w:val="222222"/>
          <w:shd w:val="clear" w:color="auto" w:fill="FFFFFF"/>
          <w:lang w:bidi="ar"/>
        </w:rPr>
        <w:t>中集美兰湖金地广场</w:t>
      </w:r>
    </w:p>
    <w:p w14:paraId="0C2D2B07">
      <w:pPr>
        <w:pStyle w:val="2"/>
        <w:numPr>
          <w:ilvl w:val="0"/>
          <w:numId w:val="5"/>
        </w:numPr>
        <w:rPr>
          <w:rFonts w:hint="eastAsia" w:ascii="仿宋" w:hAnsi="仿宋" w:cs="Arial"/>
          <w:color w:val="222222"/>
          <w:kern w:val="0"/>
          <w:szCs w:val="24"/>
          <w:shd w:val="clear" w:color="auto" w:fill="FFFFFF"/>
          <w:lang w:bidi="ar"/>
        </w:rPr>
      </w:pPr>
      <w:bookmarkStart w:id="53" w:name="_Toc182576454"/>
      <w:r>
        <w:rPr>
          <w:rFonts w:hint="eastAsia" w:ascii="仿宋" w:hAnsi="仿宋" w:cs="Arial"/>
          <w:color w:val="222222"/>
          <w:kern w:val="0"/>
          <w:szCs w:val="24"/>
          <w:shd w:val="clear" w:color="auto" w:fill="FFFFFF"/>
          <w:lang w:bidi="ar"/>
        </w:rPr>
        <w:t>大湾区首个“PARK+TOD”综合体-深圳坂田万致天地商业综合体正式开业</w:t>
      </w:r>
      <w:bookmarkEnd w:id="53"/>
    </w:p>
    <w:p w14:paraId="3BD8513C">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10月9日</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深圳坂田万致天地商业综合体正式开业</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先后吸引超30万客流</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引领片区消费焕新升级</w:t>
      </w:r>
      <w:r>
        <w:rPr>
          <w:rFonts w:hint="eastAsia" w:ascii="仿宋" w:hAnsi="仿宋" w:eastAsia="仿宋" w:cs="Arial"/>
          <w:color w:val="222222"/>
          <w:shd w:val="clear" w:color="auto" w:fill="FFFFFF"/>
          <w:lang w:bidi="ar"/>
        </w:rPr>
        <w:t>。万致天地项目位于深圳市龙岗区坂田布龙路与坂雪岗大道交汇处，总建筑面积约50万平方米，是基于深圳地铁5号线坂田站打造的TOD综合体，包含商业广场、台地式购物中心设施、2栋公寓和2栋商业办公楼。万致天地商业综合体是“PARK+TOD”模式在大湾区的首次呈现，也是深圳坂田片区首个台地式购物中心。项目定位为“都市自然社交中心”，以“商业+生态”模式，将自然艺术与互动场景相结合，集合200多种异国、深圳本土植物以及深圳十大明星动物，打造了一座2.7万平方米的“深圳在地自然博物园”，成为亲子、运动、文艺、潮流、美食五大功能兼备的深圳生态型商业模式的新代表。</w:t>
      </w:r>
    </w:p>
    <w:p w14:paraId="74B12C48">
      <w:pPr>
        <w:ind w:firstLine="480"/>
        <w:jc w:val="center"/>
        <w:rPr>
          <w:rFonts w:ascii="仿宋" w:hAnsi="仿宋" w:cs="宋体"/>
          <w:szCs w:val="24"/>
        </w:rPr>
      </w:pPr>
      <w:r>
        <w:rPr>
          <w:rFonts w:ascii="仿宋" w:hAnsi="仿宋" w:cs="宋体"/>
          <w:szCs w:val="24"/>
        </w:rPr>
        <w:fldChar w:fldCharType="begin"/>
      </w:r>
      <w:r>
        <w:rPr>
          <w:rFonts w:ascii="仿宋" w:hAnsi="仿宋" w:cs="宋体"/>
          <w:szCs w:val="24"/>
        </w:rPr>
        <w:instrText xml:space="preserve">INCLUDEPICTURE \d "https://mmbiz.qpic.cn/sz_mmbiz_jpg/9iaibkP9mPS4bMB8nqBXxjQGZGYVvYSIEb9G5jibic1U4XGQCuq6HXOibPU7AKyhKJ8qDoVp4Zb8FIREshnMqicR9Pcw/640?wx_fmt=other&amp;wxfrom=5&amp;wx_lazy=1&amp;wx_co=1&amp;tp=webp" \* MERGEFORMATINET </w:instrText>
      </w:r>
      <w:r>
        <w:rPr>
          <w:rFonts w:ascii="仿宋" w:hAnsi="仿宋" w:cs="宋体"/>
          <w:szCs w:val="24"/>
        </w:rPr>
        <w:fldChar w:fldCharType="separate"/>
      </w:r>
      <w:r>
        <w:rPr>
          <w:rFonts w:hint="eastAsia" w:ascii="仿宋" w:hAnsi="仿宋" w:cs="宋体"/>
          <w:szCs w:val="24"/>
        </w:rPr>
        <w:fldChar w:fldCharType="begin"/>
      </w:r>
      <w:r>
        <w:rPr>
          <w:rFonts w:hint="eastAsia" w:ascii="仿宋" w:hAnsi="仿宋" w:cs="宋体"/>
          <w:szCs w:val="24"/>
        </w:rPr>
        <w:instrText xml:space="preserve"> INCLUDEPICTURE  "https://mmbiz.qpic.cn/sz_mmbiz_jpg/9iaibkP9mPS4bMB8nqBXxjQGZGYVvYSIEb9G5jibic1U4XGQCuq6HXOibPU7AKyhKJ8qDoVp4Zb8FIREshnMqicR9Pcw/640?wx_fmt=other&amp;wxfrom=5&amp;wx_lazy=1&amp;wx_co=1&amp;tp=webp" \* MERGEFORMATINET </w:instrText>
      </w:r>
      <w:r>
        <w:rPr>
          <w:rFonts w:hint="eastAsia" w:ascii="仿宋" w:hAnsi="仿宋" w:cs="宋体"/>
          <w:szCs w:val="24"/>
        </w:rPr>
        <w:fldChar w:fldCharType="separate"/>
      </w:r>
      <w:r>
        <w:rPr>
          <w:rFonts w:hint="eastAsia" w:ascii="仿宋" w:hAnsi="仿宋" w:cs="宋体"/>
          <w:szCs w:val="24"/>
        </w:rPr>
        <w:fldChar w:fldCharType="begin"/>
      </w:r>
      <w:r>
        <w:rPr>
          <w:rFonts w:hint="eastAsia" w:ascii="仿宋" w:hAnsi="仿宋" w:cs="宋体"/>
          <w:szCs w:val="24"/>
        </w:rPr>
        <w:instrText xml:space="preserve"> INCLUDEPICTURE  "https://mmbiz.qpic.cn/sz_mmbiz_jpg/9iaibkP9mPS4bMB8nqBXxjQGZGYVvYSIEb9G5jibic1U4XGQCuq6HXOibPU7AKyhKJ8qDoVp4Zb8FIREshnMqicR9Pcw/640?wx_fmt=other&amp;wxfrom=5&amp;wx_lazy=1&amp;wx_co=1&amp;tp=webp" \* MERGEFORMATINET </w:instrText>
      </w:r>
      <w:r>
        <w:rPr>
          <w:rFonts w:hint="eastAsia" w:ascii="仿宋" w:hAnsi="仿宋" w:cs="宋体"/>
          <w:szCs w:val="24"/>
        </w:rPr>
        <w:fldChar w:fldCharType="separate"/>
      </w:r>
      <w:r>
        <w:rPr>
          <w:rFonts w:hint="eastAsia" w:ascii="仿宋" w:hAnsi="仿宋" w:cs="宋体"/>
          <w:szCs w:val="24"/>
        </w:rPr>
        <w:fldChar w:fldCharType="begin"/>
      </w:r>
      <w:r>
        <w:rPr>
          <w:rFonts w:hint="eastAsia" w:ascii="仿宋" w:hAnsi="仿宋" w:cs="宋体"/>
          <w:szCs w:val="24"/>
        </w:rPr>
        <w:instrText xml:space="preserve"> INCLUDEPICTURE  "https://mmbiz.qpic.cn/sz_mmbiz_jpg/9iaibkP9mPS4bMB8nqBXxjQGZGYVvYSIEb9G5jibic1U4XGQCuq6HXOibPU7AKyhKJ8qDoVp4Zb8FIREshnMqicR9Pcw/640?wx_fmt=other&amp;wxfrom=5&amp;wx_lazy=1&amp;wx_co=1&amp;tp=webp" \* MERGEFORMATINET </w:instrText>
      </w:r>
      <w:r>
        <w:rPr>
          <w:rFonts w:hint="eastAsia" w:ascii="仿宋" w:hAnsi="仿宋" w:cs="宋体"/>
          <w:szCs w:val="24"/>
        </w:rPr>
        <w:fldChar w:fldCharType="separate"/>
      </w:r>
      <w:r>
        <w:rPr>
          <w:rFonts w:hint="eastAsia" w:ascii="仿宋" w:hAnsi="仿宋" w:cs="宋体"/>
          <w:szCs w:val="24"/>
        </w:rPr>
        <w:fldChar w:fldCharType="begin"/>
      </w:r>
      <w:r>
        <w:rPr>
          <w:rFonts w:hint="eastAsia" w:ascii="仿宋" w:hAnsi="仿宋" w:cs="宋体"/>
          <w:szCs w:val="24"/>
        </w:rPr>
        <w:instrText xml:space="preserve"> INCLUDEPICTURE  "https://mmbiz.qpic.cn/sz_mmbiz_jpg/9iaibkP9mPS4bMB8nqBXxjQGZGYVvYSIEb9G5jibic1U4XGQCuq6HXOibPU7AKyhKJ8qDoVp4Zb8FIREshnMqicR9Pcw/640?wx_fmt=other&amp;wxfrom=5&amp;wx_lazy=1&amp;wx_co=1&amp;tp=webp" \* MERGEFORMATINET </w:instrText>
      </w:r>
      <w:r>
        <w:rPr>
          <w:rFonts w:hint="eastAsia" w:ascii="仿宋" w:hAnsi="仿宋" w:cs="宋体"/>
          <w:szCs w:val="24"/>
        </w:rPr>
        <w:fldChar w:fldCharType="separate"/>
      </w:r>
      <w:r>
        <w:rPr>
          <w:rFonts w:ascii="仿宋" w:hAnsi="仿宋" w:cs="宋体"/>
          <w:szCs w:val="24"/>
        </w:rPr>
        <w:pict>
          <v:shape id="_x0000_i1027" o:spt="75" type="#_x0000_t75" style="height:155.8pt;width:255.2pt;" filled="f" o:preferrelative="t" stroked="f" coordsize="21600,21600">
            <v:path/>
            <v:fill on="f" focussize="0,0"/>
            <v:stroke on="f" joinstyle="miter"/>
            <v:imagedata r:id="rId19" r:href="rId20" o:title=""/>
            <o:lock v:ext="edit" grouping="t" aspectratio="t"/>
            <w10:wrap type="none"/>
            <w10:anchorlock/>
          </v:shape>
        </w:pict>
      </w:r>
      <w:r>
        <w:rPr>
          <w:rFonts w:hint="eastAsia" w:ascii="仿宋" w:hAnsi="仿宋" w:cs="宋体"/>
          <w:szCs w:val="24"/>
        </w:rPr>
        <w:fldChar w:fldCharType="end"/>
      </w:r>
      <w:r>
        <w:rPr>
          <w:rFonts w:hint="eastAsia" w:ascii="仿宋" w:hAnsi="仿宋" w:cs="宋体"/>
          <w:szCs w:val="24"/>
        </w:rPr>
        <w:fldChar w:fldCharType="end"/>
      </w:r>
      <w:r>
        <w:rPr>
          <w:rFonts w:hint="eastAsia" w:ascii="仿宋" w:hAnsi="仿宋" w:cs="宋体"/>
          <w:szCs w:val="24"/>
        </w:rPr>
        <w:fldChar w:fldCharType="end"/>
      </w:r>
      <w:r>
        <w:rPr>
          <w:rFonts w:hint="eastAsia" w:ascii="仿宋" w:hAnsi="仿宋" w:cs="宋体"/>
          <w:szCs w:val="24"/>
        </w:rPr>
        <w:fldChar w:fldCharType="end"/>
      </w:r>
      <w:r>
        <w:rPr>
          <w:rFonts w:ascii="仿宋" w:hAnsi="仿宋" w:cs="宋体"/>
          <w:szCs w:val="24"/>
        </w:rPr>
        <w:fldChar w:fldCharType="end"/>
      </w:r>
    </w:p>
    <w:p w14:paraId="4BFCBCEB">
      <w:pPr>
        <w:ind w:firstLine="480"/>
        <w:jc w:val="center"/>
        <w:rPr>
          <w:rFonts w:hint="eastAsia" w:ascii="仿宋" w:hAnsi="仿宋"/>
          <w:szCs w:val="24"/>
        </w:rPr>
      </w:pPr>
      <w:r>
        <w:rPr>
          <w:rFonts w:hint="eastAsia" w:ascii="仿宋" w:hAnsi="仿宋" w:cs="Arial"/>
          <w:color w:val="222222"/>
          <w:kern w:val="0"/>
          <w:szCs w:val="24"/>
          <w:shd w:val="clear" w:color="auto" w:fill="FFFFFF"/>
          <w:lang w:bidi="ar"/>
        </w:rPr>
        <w:t>图：深圳坂田万致天地商业综合体</w:t>
      </w:r>
    </w:p>
    <w:p w14:paraId="12BA3FF7">
      <w:pPr>
        <w:pStyle w:val="2"/>
        <w:numPr>
          <w:ilvl w:val="0"/>
          <w:numId w:val="5"/>
        </w:numPr>
        <w:rPr>
          <w:rFonts w:hint="eastAsia" w:ascii="仿宋" w:hAnsi="仿宋" w:cs="Arial"/>
          <w:color w:val="222222"/>
          <w:kern w:val="0"/>
          <w:szCs w:val="24"/>
          <w:shd w:val="clear" w:color="auto" w:fill="FFFFFF"/>
          <w:lang w:bidi="ar"/>
        </w:rPr>
      </w:pPr>
      <w:bookmarkStart w:id="54" w:name="_Toc182576455"/>
      <w:r>
        <w:rPr>
          <w:rFonts w:ascii="仿宋" w:hAnsi="仿宋" w:cs="Arial"/>
          <w:color w:val="222222"/>
          <w:kern w:val="0"/>
          <w:szCs w:val="24"/>
          <w:shd w:val="clear" w:color="auto" w:fill="FFFFFF"/>
          <w:lang w:bidi="ar"/>
        </w:rPr>
        <w:t>杭州湘滨路TOD</w:t>
      </w:r>
      <w:r>
        <w:rPr>
          <w:rFonts w:ascii="仿宋" w:hAnsi="仿宋" w:cs="Arial"/>
          <w:color w:val="000000" w:themeColor="text1"/>
          <w:szCs w:val="28"/>
          <w:shd w:val="clear" w:color="auto" w:fill="FFFFFF"/>
          <w14:textFill>
            <w14:solidFill>
              <w14:schemeClr w14:val="tx1"/>
            </w14:solidFill>
          </w14:textFill>
        </w:rPr>
        <w:t>产业</w:t>
      </w:r>
      <w:r>
        <w:rPr>
          <w:rFonts w:ascii="仿宋" w:hAnsi="仿宋" w:cs="Arial"/>
          <w:color w:val="222222"/>
          <w:kern w:val="0"/>
          <w:szCs w:val="24"/>
          <w:shd w:val="clear" w:color="auto" w:fill="FFFFFF"/>
          <w:lang w:bidi="ar"/>
        </w:rPr>
        <w:t>综合体开工</w:t>
      </w:r>
      <w:bookmarkEnd w:id="54"/>
    </w:p>
    <w:p w14:paraId="2A426F50">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10月8日消息，杭州</w:t>
      </w:r>
      <w:r>
        <w:rPr>
          <w:rFonts w:ascii="仿宋" w:hAnsi="仿宋" w:eastAsia="仿宋" w:cs="Arial"/>
          <w:color w:val="222222"/>
          <w:shd w:val="clear" w:color="auto" w:fill="FFFFFF"/>
          <w:lang w:bidi="ar"/>
        </w:rPr>
        <w:t>中国视谷产业园内的湘滨路站TOD产业综合体项目正式动工，用地面积达3.9万平方米，总建筑面积约12万平方米。项目位于地铁18号线湘滨路站上方，地理优势明显，生态环境优越。湘滨路TOD产业综合体采用地铁站核心的TOD模式，进行多层次开发，融合生产、商业、办公等功能。项目设计融合了地域特色和产业定位，外观取意于当地龙舟文化，寓意积极进取。产业定位为未来产业创新服务中心，聚焦智造与科研，配套商务办公和金融等服务，同时结合科技与旅游功能。</w:t>
      </w:r>
    </w:p>
    <w:p w14:paraId="14D5C05E">
      <w:pPr>
        <w:pStyle w:val="21"/>
        <w:spacing w:before="0" w:beforeAutospacing="0" w:after="0" w:afterAutospacing="0" w:line="360" w:lineRule="auto"/>
        <w:ind w:firstLine="480"/>
        <w:jc w:val="center"/>
        <w:rPr>
          <w:rFonts w:hint="eastAsia" w:ascii="仿宋" w:hAnsi="仿宋" w:eastAsia="仿宋" w:cs="Arial"/>
          <w:color w:val="333333"/>
        </w:rPr>
      </w:pPr>
      <w:r>
        <w:rPr>
          <w:rFonts w:ascii="仿宋" w:hAnsi="仿宋" w:eastAsia="仿宋" w:cs="Arial"/>
          <w:color w:val="333333"/>
        </w:rPr>
        <w:fldChar w:fldCharType="begin"/>
      </w:r>
      <w:r>
        <w:rPr>
          <w:rFonts w:ascii="仿宋" w:hAnsi="仿宋" w:eastAsia="仿宋" w:cs="Arial"/>
          <w:color w:val="333333"/>
        </w:rPr>
        <w:instrText xml:space="preserve">INCLUDEPICTURE \d "http://e.thsi.cn/img/333abdede46df00" \* MERGEFORMATINET </w:instrText>
      </w:r>
      <w:r>
        <w:rPr>
          <w:rFonts w:ascii="仿宋" w:hAnsi="仿宋" w:eastAsia="仿宋" w:cs="Arial"/>
          <w:color w:val="333333"/>
        </w:rPr>
        <w:fldChar w:fldCharType="separate"/>
      </w:r>
      <w:r>
        <w:rPr>
          <w:rFonts w:hint="eastAsia" w:ascii="仿宋" w:hAnsi="仿宋" w:eastAsia="仿宋" w:cs="Arial"/>
          <w:color w:val="333333"/>
        </w:rPr>
        <w:fldChar w:fldCharType="begin"/>
      </w:r>
      <w:r>
        <w:rPr>
          <w:rFonts w:hint="eastAsia" w:ascii="仿宋" w:hAnsi="仿宋" w:eastAsia="仿宋" w:cs="Arial"/>
          <w:color w:val="333333"/>
        </w:rPr>
        <w:instrText xml:space="preserve"> INCLUDEPICTURE  "http://e.thsi.cn/img/333abdede46df00" \* MERGEFORMATINET </w:instrText>
      </w:r>
      <w:r>
        <w:rPr>
          <w:rFonts w:hint="eastAsia" w:ascii="仿宋" w:hAnsi="仿宋" w:eastAsia="仿宋" w:cs="Arial"/>
          <w:color w:val="333333"/>
        </w:rPr>
        <w:fldChar w:fldCharType="separate"/>
      </w:r>
      <w:r>
        <w:rPr>
          <w:rFonts w:hint="eastAsia" w:ascii="仿宋" w:hAnsi="仿宋" w:eastAsia="仿宋" w:cs="Arial"/>
          <w:color w:val="333333"/>
        </w:rPr>
        <w:fldChar w:fldCharType="begin"/>
      </w:r>
      <w:r>
        <w:rPr>
          <w:rFonts w:hint="eastAsia" w:ascii="仿宋" w:hAnsi="仿宋" w:eastAsia="仿宋" w:cs="Arial"/>
          <w:color w:val="333333"/>
        </w:rPr>
        <w:instrText xml:space="preserve"> INCLUDEPICTURE  "http://e.thsi.cn/img/333abdede46df00" \* MERGEFORMATINET </w:instrText>
      </w:r>
      <w:r>
        <w:rPr>
          <w:rFonts w:hint="eastAsia" w:ascii="仿宋" w:hAnsi="仿宋" w:eastAsia="仿宋" w:cs="Arial"/>
          <w:color w:val="333333"/>
        </w:rPr>
        <w:fldChar w:fldCharType="separate"/>
      </w:r>
      <w:r>
        <w:rPr>
          <w:rFonts w:hint="eastAsia" w:ascii="仿宋" w:hAnsi="仿宋" w:eastAsia="仿宋" w:cs="Arial"/>
          <w:color w:val="333333"/>
        </w:rPr>
        <w:fldChar w:fldCharType="begin"/>
      </w:r>
      <w:r>
        <w:rPr>
          <w:rFonts w:hint="eastAsia" w:ascii="仿宋" w:hAnsi="仿宋" w:eastAsia="仿宋" w:cs="Arial"/>
          <w:color w:val="333333"/>
        </w:rPr>
        <w:instrText xml:space="preserve"> INCLUDEPICTURE  "http://e.thsi.cn/img/333abdede46df00" \* MERGEFORMATINET </w:instrText>
      </w:r>
      <w:r>
        <w:rPr>
          <w:rFonts w:hint="eastAsia" w:ascii="仿宋" w:hAnsi="仿宋" w:eastAsia="仿宋" w:cs="Arial"/>
          <w:color w:val="333333"/>
        </w:rPr>
        <w:fldChar w:fldCharType="separate"/>
      </w:r>
      <w:r>
        <w:rPr>
          <w:rFonts w:hint="eastAsia" w:ascii="仿宋" w:hAnsi="仿宋" w:eastAsia="仿宋" w:cs="Arial"/>
          <w:color w:val="333333"/>
        </w:rPr>
        <w:fldChar w:fldCharType="begin"/>
      </w:r>
      <w:r>
        <w:rPr>
          <w:rFonts w:hint="eastAsia" w:ascii="仿宋" w:hAnsi="仿宋" w:eastAsia="仿宋" w:cs="Arial"/>
          <w:color w:val="333333"/>
        </w:rPr>
        <w:instrText xml:space="preserve"> INCLUDEPICTURE  "http://e.thsi.cn/img/333abdede46df00" \* MERGEFORMATINET </w:instrText>
      </w:r>
      <w:r>
        <w:rPr>
          <w:rFonts w:hint="eastAsia" w:ascii="仿宋" w:hAnsi="仿宋" w:eastAsia="仿宋" w:cs="Arial"/>
          <w:color w:val="333333"/>
        </w:rPr>
        <w:fldChar w:fldCharType="separate"/>
      </w:r>
      <w:r>
        <w:rPr>
          <w:rFonts w:ascii="仿宋" w:hAnsi="仿宋" w:eastAsia="仿宋" w:cs="Arial"/>
          <w:color w:val="333333"/>
        </w:rPr>
        <w:pict>
          <v:shape id="_x0000_i1028" o:spt="75" alt="IMG_256" type="#_x0000_t75" style="height:156.05pt;width:255.2pt;" filled="f" o:preferrelative="t" stroked="f" coordsize="21600,21600">
            <v:path/>
            <v:fill on="f" focussize="0,0"/>
            <v:stroke on="f" joinstyle="miter"/>
            <v:imagedata r:id="rId21" r:href="rId22" o:title=""/>
            <o:lock v:ext="edit" aspectratio="t"/>
            <w10:wrap type="none"/>
            <w10:anchorlock/>
          </v:shape>
        </w:pict>
      </w:r>
      <w:r>
        <w:rPr>
          <w:rFonts w:hint="eastAsia" w:ascii="仿宋" w:hAnsi="仿宋" w:eastAsia="仿宋" w:cs="Arial"/>
          <w:color w:val="333333"/>
        </w:rPr>
        <w:fldChar w:fldCharType="end"/>
      </w:r>
      <w:r>
        <w:rPr>
          <w:rFonts w:hint="eastAsia" w:ascii="仿宋" w:hAnsi="仿宋" w:eastAsia="仿宋" w:cs="Arial"/>
          <w:color w:val="333333"/>
        </w:rPr>
        <w:fldChar w:fldCharType="end"/>
      </w:r>
      <w:r>
        <w:rPr>
          <w:rFonts w:hint="eastAsia" w:ascii="仿宋" w:hAnsi="仿宋" w:eastAsia="仿宋" w:cs="Arial"/>
          <w:color w:val="333333"/>
        </w:rPr>
        <w:fldChar w:fldCharType="end"/>
      </w:r>
      <w:r>
        <w:rPr>
          <w:rFonts w:hint="eastAsia" w:ascii="仿宋" w:hAnsi="仿宋" w:eastAsia="仿宋" w:cs="Arial"/>
          <w:color w:val="333333"/>
        </w:rPr>
        <w:fldChar w:fldCharType="end"/>
      </w:r>
      <w:r>
        <w:rPr>
          <w:rFonts w:ascii="仿宋" w:hAnsi="仿宋" w:eastAsia="仿宋" w:cs="Arial"/>
          <w:color w:val="333333"/>
        </w:rPr>
        <w:fldChar w:fldCharType="end"/>
      </w:r>
    </w:p>
    <w:p w14:paraId="6741861A">
      <w:pPr>
        <w:pStyle w:val="48"/>
        <w:ind w:firstLine="480"/>
        <w:jc w:val="center"/>
        <w:rPr>
          <w:rFonts w:hint="eastAsia"/>
          <w:b/>
          <w:bCs/>
        </w:rPr>
      </w:pPr>
      <w:r>
        <w:rPr>
          <w:rStyle w:val="28"/>
          <w:rFonts w:hint="eastAsia" w:ascii="仿宋" w:hAnsi="仿宋" w:cs="Arial"/>
          <w:b w:val="0"/>
          <w:bCs w:val="0"/>
          <w:color w:val="333333"/>
        </w:rPr>
        <w:t>图：</w:t>
      </w:r>
      <w:r>
        <w:rPr>
          <w:rStyle w:val="28"/>
          <w:rFonts w:ascii="仿宋" w:hAnsi="仿宋" w:cs="Arial"/>
          <w:b w:val="0"/>
          <w:bCs w:val="0"/>
          <w:color w:val="333333"/>
        </w:rPr>
        <w:t>湘滨路TOD产业</w:t>
      </w:r>
      <w:r>
        <w:rPr>
          <w:rStyle w:val="28"/>
          <w:rFonts w:hint="eastAsia" w:ascii="仿宋" w:hAnsi="仿宋" w:cs="Arial"/>
          <w:b w:val="0"/>
          <w:bCs w:val="0"/>
          <w:color w:val="333333"/>
        </w:rPr>
        <w:t>综合体</w:t>
      </w:r>
      <w:r>
        <w:rPr>
          <w:rStyle w:val="28"/>
          <w:rFonts w:ascii="仿宋" w:hAnsi="仿宋" w:cs="Arial"/>
          <w:b w:val="0"/>
          <w:bCs w:val="0"/>
          <w:color w:val="333333"/>
        </w:rPr>
        <w:t>项目效果图</w:t>
      </w:r>
    </w:p>
    <w:p w14:paraId="699FEBBD">
      <w:pPr>
        <w:pStyle w:val="2"/>
        <w:numPr>
          <w:ilvl w:val="0"/>
          <w:numId w:val="5"/>
        </w:numPr>
        <w:rPr>
          <w:rFonts w:hint="eastAsia" w:ascii="仿宋" w:hAnsi="仿宋" w:cs="Arial"/>
          <w:color w:val="222222"/>
          <w:kern w:val="0"/>
          <w:szCs w:val="24"/>
          <w:shd w:val="clear" w:color="auto" w:fill="FFFFFF"/>
          <w:lang w:bidi="ar"/>
        </w:rPr>
      </w:pPr>
      <w:bookmarkStart w:id="55" w:name="_Toc182576456"/>
      <w:r>
        <w:rPr>
          <w:rFonts w:hint="eastAsia" w:ascii="仿宋" w:hAnsi="仿宋" w:cs="Arial"/>
          <w:color w:val="222222"/>
          <w:kern w:val="0"/>
          <w:szCs w:val="24"/>
          <w:shd w:val="clear" w:color="auto" w:fill="FFFFFF"/>
          <w:lang w:bidi="ar"/>
        </w:rPr>
        <w:t>杭州</w:t>
      </w:r>
      <w:r>
        <w:rPr>
          <w:rFonts w:ascii="仿宋" w:hAnsi="仿宋" w:cs="Arial"/>
          <w:color w:val="222222"/>
          <w:kern w:val="0"/>
          <w:szCs w:val="24"/>
          <w:shd w:val="clear" w:color="auto" w:fill="FFFFFF"/>
          <w:lang w:bidi="ar"/>
        </w:rPr>
        <w:t>万科杭铁西湖云谷</w:t>
      </w:r>
      <w:r>
        <w:rPr>
          <w:rFonts w:ascii="仿宋" w:hAnsi="仿宋" w:cs="Arial"/>
          <w:color w:val="000000" w:themeColor="text1"/>
          <w:szCs w:val="28"/>
          <w:shd w:val="clear" w:color="auto" w:fill="FFFFFF"/>
          <w14:textFill>
            <w14:solidFill>
              <w14:schemeClr w14:val="tx1"/>
            </w14:solidFill>
          </w14:textFill>
        </w:rPr>
        <w:t>TOD</w:t>
      </w:r>
      <w:r>
        <w:rPr>
          <w:rFonts w:ascii="仿宋" w:hAnsi="仿宋" w:cs="Arial"/>
          <w:color w:val="222222"/>
          <w:kern w:val="0"/>
          <w:szCs w:val="24"/>
          <w:shd w:val="clear" w:color="auto" w:fill="FFFFFF"/>
          <w:lang w:bidi="ar"/>
        </w:rPr>
        <w:t>上盖项目方案公布</w:t>
      </w:r>
      <w:bookmarkEnd w:id="55"/>
    </w:p>
    <w:p w14:paraId="37239384">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18日，杭州市规划和自然资源局、杭州临平新城开发建设管理委员会分别对杭政储出[2024]96号住宅兼商业商务用房项目和杭政储出[2024]101号地块项目进行了设计方案公示。杭政储出[2024]96号即为万科&amp;地铁双桥项目。根据公示，项目规划15幢9-26F住宅、1幢25F酒店和1幢11F商业办公楼。公示时间为2024年10月19日到2024年10月29日。建设单位为杭州西曜房地产开发有限公司。地块位于西湖大学南侧，是杭州地铁4号线西延线西湖大学站上盖项目，根据地块规划条件显示，未来项目的地下空间将与在建地铁预留工程互联互通，轨道交通出行便捷。</w:t>
      </w:r>
    </w:p>
    <w:p w14:paraId="61D73232">
      <w:pPr>
        <w:pStyle w:val="2"/>
        <w:numPr>
          <w:ilvl w:val="0"/>
          <w:numId w:val="5"/>
        </w:numPr>
        <w:rPr>
          <w:rFonts w:hint="eastAsia" w:ascii="仿宋" w:hAnsi="仿宋" w:cs="Arial"/>
          <w:color w:val="222222"/>
          <w:kern w:val="0"/>
          <w:szCs w:val="24"/>
          <w:shd w:val="clear" w:color="auto" w:fill="FFFFFF"/>
          <w:lang w:bidi="ar"/>
        </w:rPr>
      </w:pPr>
      <w:bookmarkStart w:id="56" w:name="_Toc182576457"/>
      <w:r>
        <w:rPr>
          <w:rFonts w:ascii="仿宋" w:hAnsi="仿宋" w:cs="Arial"/>
          <w:color w:val="222222"/>
          <w:kern w:val="0"/>
          <w:szCs w:val="24"/>
          <w:shd w:val="clear" w:color="auto" w:fill="FFFFFF"/>
          <w:lang w:bidi="ar"/>
        </w:rPr>
        <w:t>济南首个轨道交通地下TOD综合体</w:t>
      </w:r>
      <w:r>
        <w:rPr>
          <w:rFonts w:hint="eastAsia" w:ascii="仿宋" w:hAnsi="仿宋" w:cs="Arial"/>
          <w:color w:val="222222"/>
          <w:kern w:val="0"/>
          <w:szCs w:val="24"/>
          <w:shd w:val="clear" w:color="auto" w:fill="FFFFFF"/>
          <w:lang w:bidi="ar"/>
        </w:rPr>
        <w:t>-千佛山站TOD</w:t>
      </w:r>
      <w:r>
        <w:rPr>
          <w:rFonts w:ascii="仿宋" w:hAnsi="仿宋" w:cs="Arial"/>
          <w:color w:val="222222"/>
          <w:kern w:val="0"/>
          <w:szCs w:val="24"/>
          <w:shd w:val="clear" w:color="auto" w:fill="FFFFFF"/>
          <w:lang w:bidi="ar"/>
        </w:rPr>
        <w:t>开建</w:t>
      </w:r>
      <w:bookmarkEnd w:id="56"/>
    </w:p>
    <w:p w14:paraId="5B3C3951">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10月9日上午</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济南市重点工程——轨道交通千佛山站TOD（“以公共交通为导向”的开发模式）综合开发项目正式开工建设。该项目包含商业开发、生态景观广场和配套停车场，建成后将成为济南首个轨道交通地下TOD综合体。该项目占地面积为8.28万平方米，地上建设生态景观广场，往下分为夹层、地下一层、二层和三层，总建筑面积为9.3万平方米。其中，商业开发面积为5万余平方米，商业配套车库1.4万平方米，社会停车场2.7万余平方米。项目建成后对于完善城市功能、提升城市品质以及增进民生福祉有着至关重要的推动作用。</w:t>
      </w:r>
    </w:p>
    <w:p w14:paraId="76139586">
      <w:pPr>
        <w:widowControl/>
        <w:ind w:firstLine="480"/>
        <w:jc w:val="center"/>
        <w:rPr>
          <w:rFonts w:ascii="仿宋" w:hAnsi="仿宋" w:cs="宋体"/>
          <w:kern w:val="0"/>
          <w:szCs w:val="24"/>
          <w:lang w:bidi="ar"/>
        </w:rPr>
      </w:pPr>
      <w:r>
        <w:rPr>
          <w:rFonts w:ascii="仿宋" w:hAnsi="仿宋" w:cs="宋体"/>
          <w:kern w:val="0"/>
          <w:szCs w:val="24"/>
          <w:lang w:bidi="ar"/>
        </w:rPr>
        <w:fldChar w:fldCharType="begin"/>
      </w:r>
      <w:r>
        <w:rPr>
          <w:rFonts w:ascii="仿宋" w:hAnsi="仿宋" w:cs="宋体"/>
          <w:kern w:val="0"/>
          <w:szCs w:val="24"/>
          <w:lang w:bidi="ar"/>
        </w:rPr>
        <w:instrText xml:space="preserve">INCLUDEPICTURE \d "https://mmbiz.qpic.cn/mmbiz_png/aRGEKIYu71wGibKQLNlNw7aZFpaUKIYE75JxUhAAjeo66nGuxBm10hot0Zic1lsKjYxWnib4MicU2SvS7iaJt36NHjw/640?wx_fmt=png&amp;from=appmsg&amp;wxfrom=13&amp;tp=wxpic" \* MERGEFORMATINET </w:instrText>
      </w:r>
      <w:r>
        <w:rPr>
          <w:rFonts w:ascii="仿宋" w:hAnsi="仿宋" w:cs="宋体"/>
          <w:kern w:val="0"/>
          <w:szCs w:val="24"/>
          <w:lang w:bidi="ar"/>
        </w:rPr>
        <w:fldChar w:fldCharType="separate"/>
      </w:r>
      <w:r>
        <w:rPr>
          <w:rFonts w:hint="eastAsia" w:ascii="仿宋" w:hAnsi="仿宋" w:cs="宋体"/>
          <w:kern w:val="0"/>
          <w:szCs w:val="24"/>
          <w:lang w:bidi="ar"/>
        </w:rPr>
        <w:fldChar w:fldCharType="begin"/>
      </w:r>
      <w:r>
        <w:rPr>
          <w:rFonts w:hint="eastAsia" w:ascii="仿宋" w:hAnsi="仿宋" w:cs="宋体"/>
          <w:kern w:val="0"/>
          <w:szCs w:val="24"/>
          <w:lang w:bidi="ar"/>
        </w:rPr>
        <w:instrText xml:space="preserve"> INCLUDEPICTURE  "https://mmbiz.qpic.cn/mmbiz_png/aRGEKIYu71wGibKQLNlNw7aZFpaUKIYE75JxUhAAjeo66nGuxBm10hot0Zic1lsKjYxWnib4MicU2SvS7iaJt36NHjw/640?wx_fmt=png&amp;from=appmsg&amp;wxfrom=13&amp;tp=wxpic" \* MERGEFORMATINET </w:instrText>
      </w:r>
      <w:r>
        <w:rPr>
          <w:rFonts w:hint="eastAsia" w:ascii="仿宋" w:hAnsi="仿宋" w:cs="宋体"/>
          <w:kern w:val="0"/>
          <w:szCs w:val="24"/>
          <w:lang w:bidi="ar"/>
        </w:rPr>
        <w:fldChar w:fldCharType="separate"/>
      </w:r>
      <w:r>
        <w:rPr>
          <w:rFonts w:hint="eastAsia" w:ascii="仿宋" w:hAnsi="仿宋" w:cs="宋体"/>
          <w:kern w:val="0"/>
          <w:szCs w:val="24"/>
          <w:lang w:bidi="ar"/>
        </w:rPr>
        <w:fldChar w:fldCharType="begin"/>
      </w:r>
      <w:r>
        <w:rPr>
          <w:rFonts w:hint="eastAsia" w:ascii="仿宋" w:hAnsi="仿宋" w:cs="宋体"/>
          <w:kern w:val="0"/>
          <w:szCs w:val="24"/>
          <w:lang w:bidi="ar"/>
        </w:rPr>
        <w:instrText xml:space="preserve"> INCLUDEPICTURE  "https://mmbiz.qpic.cn/mmbiz_png/aRGEKIYu71wGibKQLNlNw7aZFpaUKIYE75JxUhAAjeo66nGuxBm10hot0Zic1lsKjYxWnib4MicU2SvS7iaJt36NHjw/640?wx_fmt=png&amp;from=appmsg&amp;wxfrom=13&amp;tp=wxpic" \* MERGEFORMATINET </w:instrText>
      </w:r>
      <w:r>
        <w:rPr>
          <w:rFonts w:hint="eastAsia" w:ascii="仿宋" w:hAnsi="仿宋" w:cs="宋体"/>
          <w:kern w:val="0"/>
          <w:szCs w:val="24"/>
          <w:lang w:bidi="ar"/>
        </w:rPr>
        <w:fldChar w:fldCharType="separate"/>
      </w:r>
      <w:r>
        <w:rPr>
          <w:rFonts w:hint="eastAsia" w:ascii="仿宋" w:hAnsi="仿宋" w:cs="宋体"/>
          <w:kern w:val="0"/>
          <w:szCs w:val="24"/>
          <w:lang w:bidi="ar"/>
        </w:rPr>
        <w:fldChar w:fldCharType="begin"/>
      </w:r>
      <w:r>
        <w:rPr>
          <w:rFonts w:hint="eastAsia" w:ascii="仿宋" w:hAnsi="仿宋" w:cs="宋体"/>
          <w:kern w:val="0"/>
          <w:szCs w:val="24"/>
          <w:lang w:bidi="ar"/>
        </w:rPr>
        <w:instrText xml:space="preserve"> INCLUDEPICTURE  "https://mmbiz.qpic.cn/mmbiz_png/aRGEKIYu71wGibKQLNlNw7aZFpaUKIYE75JxUhAAjeo66nGuxBm10hot0Zic1lsKjYxWnib4MicU2SvS7iaJt36NHjw/640?wx_fmt=png&amp;from=appmsg&amp;wxfrom=13&amp;tp=wxpic" \* MERGEFORMATINET </w:instrText>
      </w:r>
      <w:r>
        <w:rPr>
          <w:rFonts w:hint="eastAsia" w:ascii="仿宋" w:hAnsi="仿宋" w:cs="宋体"/>
          <w:kern w:val="0"/>
          <w:szCs w:val="24"/>
          <w:lang w:bidi="ar"/>
        </w:rPr>
        <w:fldChar w:fldCharType="separate"/>
      </w:r>
      <w:r>
        <w:rPr>
          <w:rFonts w:hint="eastAsia" w:ascii="仿宋" w:hAnsi="仿宋" w:cs="宋体"/>
          <w:kern w:val="0"/>
          <w:szCs w:val="24"/>
          <w:lang w:bidi="ar"/>
        </w:rPr>
        <w:fldChar w:fldCharType="begin"/>
      </w:r>
      <w:r>
        <w:rPr>
          <w:rFonts w:hint="eastAsia" w:ascii="仿宋" w:hAnsi="仿宋" w:cs="宋体"/>
          <w:kern w:val="0"/>
          <w:szCs w:val="24"/>
          <w:lang w:bidi="ar"/>
        </w:rPr>
        <w:instrText xml:space="preserve"> INCLUDEPICTURE  "https://mmbiz.qpic.cn/mmbiz_png/aRGEKIYu71wGibKQLNlNw7aZFpaUKIYE75JxUhAAjeo66nGuxBm10hot0Zic1lsKjYxWnib4MicU2SvS7iaJt36NHjw/640?wx_fmt=png&amp;from=appmsg&amp;wxfrom=13&amp;tp=wxpic" \* MERGEFORMATINET </w:instrText>
      </w:r>
      <w:r>
        <w:rPr>
          <w:rFonts w:hint="eastAsia" w:ascii="仿宋" w:hAnsi="仿宋" w:cs="宋体"/>
          <w:kern w:val="0"/>
          <w:szCs w:val="24"/>
          <w:lang w:bidi="ar"/>
        </w:rPr>
        <w:fldChar w:fldCharType="separate"/>
      </w:r>
      <w:r>
        <w:rPr>
          <w:rFonts w:ascii="仿宋" w:hAnsi="仿宋" w:cs="宋体"/>
          <w:kern w:val="0"/>
          <w:szCs w:val="24"/>
          <w:lang w:bidi="ar"/>
        </w:rPr>
        <w:pict>
          <v:shape id="_x0000_i1029" o:spt="75" type="#_x0000_t75" style="height:156.25pt;width:258.25pt;" filled="f" o:preferrelative="t" stroked="f" coordsize="21600,21600">
            <v:path/>
            <v:fill on="f" focussize="0,0"/>
            <v:stroke on="f" joinstyle="miter"/>
            <v:imagedata r:id="rId23" r:href="rId24" o:title=""/>
            <o:lock v:ext="edit" aspectratio="t"/>
            <w10:wrap type="none"/>
            <w10:anchorlock/>
          </v:shape>
        </w:pict>
      </w:r>
      <w:r>
        <w:rPr>
          <w:rFonts w:hint="eastAsia" w:ascii="仿宋" w:hAnsi="仿宋" w:cs="宋体"/>
          <w:kern w:val="0"/>
          <w:szCs w:val="24"/>
          <w:lang w:bidi="ar"/>
        </w:rPr>
        <w:fldChar w:fldCharType="end"/>
      </w:r>
      <w:r>
        <w:rPr>
          <w:rFonts w:hint="eastAsia" w:ascii="仿宋" w:hAnsi="仿宋" w:cs="宋体"/>
          <w:kern w:val="0"/>
          <w:szCs w:val="24"/>
          <w:lang w:bidi="ar"/>
        </w:rPr>
        <w:fldChar w:fldCharType="end"/>
      </w:r>
      <w:r>
        <w:rPr>
          <w:rFonts w:hint="eastAsia" w:ascii="仿宋" w:hAnsi="仿宋" w:cs="宋体"/>
          <w:kern w:val="0"/>
          <w:szCs w:val="24"/>
          <w:lang w:bidi="ar"/>
        </w:rPr>
        <w:fldChar w:fldCharType="end"/>
      </w:r>
      <w:r>
        <w:rPr>
          <w:rFonts w:hint="eastAsia" w:ascii="仿宋" w:hAnsi="仿宋" w:cs="宋体"/>
          <w:kern w:val="0"/>
          <w:szCs w:val="24"/>
          <w:lang w:bidi="ar"/>
        </w:rPr>
        <w:fldChar w:fldCharType="end"/>
      </w:r>
      <w:r>
        <w:rPr>
          <w:rFonts w:ascii="仿宋" w:hAnsi="仿宋" w:cs="宋体"/>
          <w:kern w:val="0"/>
          <w:szCs w:val="24"/>
          <w:lang w:bidi="ar"/>
        </w:rPr>
        <w:fldChar w:fldCharType="end"/>
      </w:r>
    </w:p>
    <w:p w14:paraId="3021ADAB">
      <w:pPr>
        <w:widowControl/>
        <w:ind w:firstLine="480"/>
        <w:jc w:val="center"/>
        <w:rPr>
          <w:rFonts w:hint="eastAsia" w:ascii="仿宋" w:hAnsi="仿宋"/>
          <w:szCs w:val="24"/>
        </w:rPr>
      </w:pPr>
      <w:r>
        <w:rPr>
          <w:rFonts w:hint="eastAsia" w:ascii="仿宋" w:hAnsi="仿宋" w:cs="Arial"/>
          <w:color w:val="222222"/>
          <w:kern w:val="0"/>
          <w:szCs w:val="24"/>
          <w:shd w:val="clear" w:color="auto" w:fill="FFFFFF"/>
          <w:lang w:bidi="ar"/>
        </w:rPr>
        <w:t>图：济南</w:t>
      </w:r>
      <w:r>
        <w:rPr>
          <w:rFonts w:ascii="仿宋" w:hAnsi="仿宋" w:cs="Arial"/>
          <w:color w:val="222222"/>
          <w:kern w:val="0"/>
          <w:szCs w:val="24"/>
          <w:shd w:val="clear" w:color="auto" w:fill="FFFFFF"/>
          <w:lang w:bidi="ar"/>
        </w:rPr>
        <w:t>千佛山站TOD</w:t>
      </w:r>
      <w:r>
        <w:rPr>
          <w:rFonts w:hint="eastAsia" w:ascii="仿宋" w:hAnsi="仿宋" w:cs="Arial"/>
          <w:color w:val="222222"/>
          <w:kern w:val="0"/>
          <w:szCs w:val="24"/>
          <w:shd w:val="clear" w:color="auto" w:fill="FFFFFF"/>
          <w:lang w:bidi="ar"/>
        </w:rPr>
        <w:t>项目</w:t>
      </w:r>
    </w:p>
    <w:p w14:paraId="4B13B222">
      <w:pPr>
        <w:pStyle w:val="2"/>
        <w:numPr>
          <w:ilvl w:val="0"/>
          <w:numId w:val="5"/>
        </w:numPr>
        <w:rPr>
          <w:rFonts w:hint="eastAsia" w:ascii="仿宋" w:hAnsi="仿宋" w:cs="Arial"/>
          <w:color w:val="222222"/>
          <w:kern w:val="0"/>
          <w:szCs w:val="24"/>
          <w:shd w:val="clear" w:color="auto" w:fill="FFFFFF"/>
          <w:lang w:bidi="ar"/>
        </w:rPr>
      </w:pPr>
      <w:bookmarkStart w:id="57" w:name="_Toc182576458"/>
      <w:r>
        <w:rPr>
          <w:rFonts w:hint="eastAsia" w:ascii="仿宋" w:hAnsi="仿宋" w:cs="Arial"/>
          <w:color w:val="222222"/>
          <w:kern w:val="0"/>
          <w:szCs w:val="24"/>
          <w:shd w:val="clear" w:color="auto" w:fill="FFFFFF"/>
          <w:lang w:bidi="ar"/>
        </w:rPr>
        <w:t>惠阳站综合交通枢纽项目（一期工程）开工</w:t>
      </w:r>
      <w:bookmarkEnd w:id="57"/>
    </w:p>
    <w:p w14:paraId="227AF3A1">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10月10日</w:t>
      </w:r>
      <w:r>
        <w:rPr>
          <w:rFonts w:ascii="仿宋" w:hAnsi="仿宋" w:eastAsia="仿宋" w:cs="Arial"/>
          <w:color w:val="222222"/>
          <w:shd w:val="clear" w:color="auto" w:fill="FFFFFF"/>
          <w:lang w:bidi="ar"/>
        </w:rPr>
        <w:t>从惠阳区交通运输局获悉，惠阳站综合交通枢纽项目一期工程（不含涉铁部分）施工总承包施工招标已完成，于本月开工建设。惠阳站综合交通枢纽项目一期工程位于惠阳区淡水街道新桥地段，既有厦深铁路惠阳站前广场及周边区域。一期工程（不含涉铁部分）建设内容分为三部分，分别是：（一）广场地面工程，场地面积约11.6万平方米；（二）北广场西区、中区及东区地面配套设施地上1层，建筑面积约35841.95平方米；地下配套设施地下3层，建筑面积约183143.60平方米。南广场地上1层、地下2层，建筑面积约23206.00平方米。北广场及南广场合计建筑面积约242191.55平方米，最大基坑深度约24米；（三）配套市政道路（站前东路、站前西路），道路总长约1998.3米。惠阳站枢纽项目建成后将实现既有厦深铁路、在建深汕铁路、规划惠州轨道1号线、惠大铁路电气化改造等引入，构成多条轨道的综合交通枢纽。</w:t>
      </w:r>
    </w:p>
    <w:p w14:paraId="61E12A79">
      <w:pPr>
        <w:pStyle w:val="48"/>
        <w:ind w:firstLine="480"/>
        <w:jc w:val="center"/>
      </w:pPr>
      <w:r>
        <w:drawing>
          <wp:inline distT="0" distB="0" distL="0" distR="0">
            <wp:extent cx="3239135" cy="1999615"/>
            <wp:effectExtent l="0" t="0" r="0" b="635"/>
            <wp:docPr id="1850190449" name="图片 5" descr="332c543bd46474de495e06b4d4a4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90449" name="图片 5" descr="332c543bd46474de495e06b4d4a4b2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45328" cy="2003552"/>
                    </a:xfrm>
                    <a:prstGeom prst="rect">
                      <a:avLst/>
                    </a:prstGeom>
                    <a:noFill/>
                    <a:ln>
                      <a:noFill/>
                    </a:ln>
                  </pic:spPr>
                </pic:pic>
              </a:graphicData>
            </a:graphic>
          </wp:inline>
        </w:drawing>
      </w:r>
    </w:p>
    <w:p w14:paraId="58C8C36F">
      <w:pPr>
        <w:pStyle w:val="48"/>
        <w:ind w:firstLine="480"/>
        <w:jc w:val="center"/>
        <w:rPr>
          <w:rFonts w:hint="eastAsia"/>
        </w:rPr>
      </w:pPr>
      <w:r>
        <w:rPr>
          <w:rFonts w:hint="eastAsia" w:ascii="仿宋" w:hAnsi="仿宋" w:cs="Arial"/>
          <w:color w:val="222222"/>
          <w:shd w:val="clear" w:color="auto" w:fill="FFFFFF"/>
          <w:lang w:bidi="ar"/>
        </w:rPr>
        <w:t>图：惠阳站综合交通枢纽项目（一期工程）</w:t>
      </w:r>
    </w:p>
    <w:p w14:paraId="3A0052F5">
      <w:pPr>
        <w:pStyle w:val="2"/>
        <w:numPr>
          <w:ilvl w:val="0"/>
          <w:numId w:val="5"/>
        </w:numPr>
        <w:rPr>
          <w:rFonts w:hint="eastAsia" w:ascii="仿宋" w:hAnsi="仿宋" w:cs="微软雅黑"/>
          <w:b w:val="0"/>
          <w:bCs w:val="0"/>
          <w:color w:val="393939"/>
          <w:szCs w:val="24"/>
        </w:rPr>
      </w:pPr>
      <w:bookmarkStart w:id="58" w:name="_Toc182576459"/>
      <w:r>
        <w:rPr>
          <w:rFonts w:hint="eastAsia" w:ascii="仿宋" w:hAnsi="仿宋" w:cs="Arial"/>
          <w:color w:val="222222"/>
          <w:kern w:val="0"/>
          <w:szCs w:val="24"/>
          <w:shd w:val="clear" w:color="auto" w:fill="FFFFFF"/>
          <w:lang w:bidi="ar"/>
        </w:rPr>
        <w:t>西安首个“地铁+保租房+TOD商业”</w:t>
      </w:r>
      <w:r>
        <w:rPr>
          <w:rFonts w:hint="eastAsia" w:ascii="仿宋" w:hAnsi="仿宋" w:cs="Arial"/>
          <w:color w:val="000000" w:themeColor="text1"/>
          <w:szCs w:val="28"/>
          <w:shd w:val="clear" w:color="auto" w:fill="FFFFFF"/>
          <w14:textFill>
            <w14:solidFill>
              <w14:schemeClr w14:val="tx1"/>
            </w14:solidFill>
          </w14:textFill>
        </w:rPr>
        <w:t>示范性</w:t>
      </w:r>
      <w:r>
        <w:rPr>
          <w:rFonts w:hint="eastAsia" w:ascii="仿宋" w:hAnsi="仿宋" w:cs="Arial"/>
          <w:color w:val="222222"/>
          <w:kern w:val="0"/>
          <w:szCs w:val="24"/>
          <w:shd w:val="clear" w:color="auto" w:fill="FFFFFF"/>
          <w:lang w:bidi="ar"/>
        </w:rPr>
        <w:t>项目建成投用</w:t>
      </w:r>
      <w:bookmarkEnd w:id="58"/>
    </w:p>
    <w:p w14:paraId="498482B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随着西安地铁5号线一期东段月登阁、雁鸣湖两站两区间开通运营，与车站同步设计、同步实施的保障性租赁住房城轨曦寓也同期建成投用，为市民提供480余套保障性租赁住房。西安地铁5号线雁鸣湖保租房是西北首个“地铁+保租房+TOD商业”的示范性工程，项目位于灞桥区东三环以西、浐河东路以东、云淙巷路以南、绕城高速以北地块，用地面积约22.5亩。项目由3栋租赁住房、四层商业及两层地下车库组成，总建筑面积约5.8万㎡，建成后可提供487套房源，同时配建约1.2万㎡商业，可满足租户及周边居民的日常消费需求。房源主要以单居室小户型为主，配置少量两居室户型。户内装修以简约风格为主，注重居室空间的布局与使用功能的结合，建成后可达到精装交付、拎包入住条件。</w:t>
      </w:r>
    </w:p>
    <w:p w14:paraId="14BDEA08">
      <w:pPr>
        <w:pStyle w:val="2"/>
        <w:numPr>
          <w:ilvl w:val="0"/>
          <w:numId w:val="5"/>
        </w:numPr>
        <w:rPr>
          <w:rFonts w:hint="eastAsia" w:ascii="仿宋" w:hAnsi="仿宋" w:cs="Arial"/>
          <w:color w:val="222222"/>
          <w:kern w:val="0"/>
          <w:szCs w:val="24"/>
          <w:shd w:val="clear" w:color="auto" w:fill="FFFFFF"/>
          <w:lang w:bidi="ar"/>
        </w:rPr>
      </w:pPr>
      <w:bookmarkStart w:id="59" w:name="_Hlk182572099"/>
      <w:bookmarkStart w:id="60" w:name="_Toc182576460"/>
      <w:r>
        <w:rPr>
          <w:rFonts w:hint="eastAsia" w:ascii="仿宋" w:hAnsi="仿宋" w:cs="Arial"/>
          <w:color w:val="222222"/>
          <w:kern w:val="0"/>
          <w:szCs w:val="24"/>
          <w:shd w:val="clear" w:color="auto" w:fill="FFFFFF"/>
          <w:lang w:bidi="ar"/>
        </w:rPr>
        <w:t>中骏世界城</w:t>
      </w:r>
      <w:bookmarkEnd w:id="59"/>
      <w:r>
        <w:rPr>
          <w:rFonts w:hint="eastAsia" w:ascii="仿宋" w:hAnsi="仿宋" w:cs="Arial"/>
          <w:color w:val="222222"/>
          <w:kern w:val="0"/>
          <w:szCs w:val="24"/>
          <w:shd w:val="clear" w:color="auto" w:fill="FFFFFF"/>
          <w:lang w:bidi="ar"/>
        </w:rPr>
        <w:t>大型TOD</w:t>
      </w:r>
      <w:r>
        <w:rPr>
          <w:rFonts w:hint="eastAsia" w:ascii="仿宋" w:hAnsi="仿宋" w:cs="Arial"/>
          <w:color w:val="000000" w:themeColor="text1"/>
          <w:szCs w:val="28"/>
          <w:shd w:val="clear" w:color="auto" w:fill="FFFFFF"/>
          <w14:textFill>
            <w14:solidFill>
              <w14:schemeClr w14:val="tx1"/>
            </w14:solidFill>
          </w14:textFill>
        </w:rPr>
        <w:t>商业</w:t>
      </w:r>
      <w:r>
        <w:rPr>
          <w:rFonts w:hint="eastAsia" w:ascii="仿宋" w:hAnsi="仿宋" w:cs="Arial"/>
          <w:color w:val="222222"/>
          <w:kern w:val="0"/>
          <w:szCs w:val="24"/>
          <w:shd w:val="clear" w:color="auto" w:fill="FFFFFF"/>
          <w:lang w:bidi="ar"/>
        </w:rPr>
        <w:t>综合体开业</w:t>
      </w:r>
      <w:bookmarkEnd w:id="60"/>
    </w:p>
    <w:p w14:paraId="54C7F6D8">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位于昆山花桥的中骏世界城正式营业，这是沪苏双城TOD区域首座商业综合体。中骏世界城是中骏集团量身定制的创新奥莱项目，总建筑面积超46万平方米，商业面积超15万平方米，停车位多达1800余个。商场位于沪苏轨交11号线交汇处，1小时内即可到达上海市区或苏州。“选品”方面，项目充分融合“购物中心内容优选”和“奥莱零售精选”双向优势。目前，寰时影院、码上鲜超市、KKV、SPAO、NIKE直营店、阿迪直营店、星巴克甄选店等近300家商户已相继入驻，首店占比超50%，涵盖国际轻奢、精品零售、潮流运动、网红餐饮、童趣体验等多种业态，满足市民吃喝玩乐购一站式打卡，为昆山以及花桥商业格局注入新的活力。</w:t>
      </w:r>
    </w:p>
    <w:p w14:paraId="16559051">
      <w:pPr>
        <w:pStyle w:val="21"/>
        <w:spacing w:before="0" w:beforeAutospacing="0" w:after="0" w:afterAutospacing="0" w:line="360" w:lineRule="auto"/>
        <w:ind w:firstLine="480"/>
        <w:jc w:val="center"/>
        <w:rPr>
          <w:rFonts w:ascii="仿宋" w:hAnsi="仿宋" w:eastAsia="仿宋"/>
        </w:rPr>
      </w:pPr>
      <w:r>
        <w:rPr>
          <w:rFonts w:ascii="仿宋" w:hAnsi="仿宋" w:eastAsia="仿宋"/>
        </w:rPr>
        <w:fldChar w:fldCharType="begin"/>
      </w:r>
      <w:r>
        <w:rPr>
          <w:rFonts w:ascii="仿宋" w:hAnsi="仿宋" w:eastAsia="仿宋"/>
        </w:rPr>
        <w:instrText xml:space="preserve">INCLUDEPICTURE \d "https://mmbiz.qpic.cn/sz_mmbiz_jpg/MB6Klw8sicpWsnHxHn9eYhwNgyJiaZHFEgEjdy8lVl64Vrsf8egcXcCeZGNzx71MsuCHgWK3uRZ6bRK8cxjxfa8g/640?wx_fmt=jpeg&amp;from=appmsg&amp;wxfrom=13" \* MERGEFORMATINET </w:instrText>
      </w:r>
      <w:r>
        <w:rPr>
          <w:rFonts w:ascii="仿宋" w:hAnsi="仿宋" w:eastAsia="仿宋"/>
        </w:rPr>
        <w:fldChar w:fldCharType="separate"/>
      </w:r>
      <w:r>
        <w:rPr>
          <w:rFonts w:hint="eastAsia" w:ascii="仿宋" w:hAnsi="仿宋" w:eastAsia="仿宋"/>
        </w:rPr>
        <w:fldChar w:fldCharType="begin"/>
      </w:r>
      <w:r>
        <w:rPr>
          <w:rFonts w:hint="eastAsia" w:ascii="仿宋" w:hAnsi="仿宋" w:eastAsia="仿宋"/>
        </w:rPr>
        <w:instrText xml:space="preserve"> INCLUDEPICTURE  "https://mmbiz.qpic.cn/sz_mmbiz_jpg/MB6Klw8sicpWsnHxHn9eYhwNgyJiaZHFEgEjdy8lVl64Vrsf8egcXcCeZGNzx71MsuCHgWK3uRZ6bRK8cxjxfa8g/640?wx_fmt=jpeg&amp;from=appmsg&amp;wxfrom=13" \* MERGEFORMATINET </w:instrText>
      </w:r>
      <w:r>
        <w:rPr>
          <w:rFonts w:hint="eastAsia" w:ascii="仿宋" w:hAnsi="仿宋" w:eastAsia="仿宋"/>
        </w:rPr>
        <w:fldChar w:fldCharType="separate"/>
      </w:r>
      <w:r>
        <w:rPr>
          <w:rFonts w:hint="eastAsia" w:ascii="仿宋" w:hAnsi="仿宋" w:eastAsia="仿宋"/>
        </w:rPr>
        <w:fldChar w:fldCharType="begin"/>
      </w:r>
      <w:r>
        <w:rPr>
          <w:rFonts w:hint="eastAsia" w:ascii="仿宋" w:hAnsi="仿宋" w:eastAsia="仿宋"/>
        </w:rPr>
        <w:instrText xml:space="preserve"> INCLUDEPICTURE  "https://mmbiz.qpic.cn/sz_mmbiz_jpg/MB6Klw8sicpWsnHxHn9eYhwNgyJiaZHFEgEjdy8lVl64Vrsf8egcXcCeZGNzx71MsuCHgWK3uRZ6bRK8cxjxfa8g/640?wx_fmt=jpeg&amp;from=appmsg&amp;wxfrom=13" \* MERGEFORMATINET </w:instrText>
      </w:r>
      <w:r>
        <w:rPr>
          <w:rFonts w:hint="eastAsia" w:ascii="仿宋" w:hAnsi="仿宋" w:eastAsia="仿宋"/>
        </w:rPr>
        <w:fldChar w:fldCharType="separate"/>
      </w:r>
      <w:r>
        <w:rPr>
          <w:rFonts w:hint="eastAsia" w:ascii="仿宋" w:hAnsi="仿宋" w:eastAsia="仿宋"/>
        </w:rPr>
        <w:fldChar w:fldCharType="begin"/>
      </w:r>
      <w:r>
        <w:rPr>
          <w:rFonts w:hint="eastAsia" w:ascii="仿宋" w:hAnsi="仿宋" w:eastAsia="仿宋"/>
        </w:rPr>
        <w:instrText xml:space="preserve"> INCLUDEPICTURE  "https://mmbiz.qpic.cn/sz_mmbiz_jpg/MB6Klw8sicpWsnHxHn9eYhwNgyJiaZHFEgEjdy8lVl64Vrsf8egcXcCeZGNzx71MsuCHgWK3uRZ6bRK8cxjxfa8g/640?wx_fmt=jpeg&amp;from=appmsg&amp;wxfrom=13" \* MERGEFORMATINET </w:instrText>
      </w:r>
      <w:r>
        <w:rPr>
          <w:rFonts w:hint="eastAsia" w:ascii="仿宋" w:hAnsi="仿宋" w:eastAsia="仿宋"/>
        </w:rPr>
        <w:fldChar w:fldCharType="separate"/>
      </w:r>
      <w:r>
        <w:rPr>
          <w:rFonts w:hint="eastAsia" w:ascii="仿宋" w:hAnsi="仿宋" w:eastAsia="仿宋"/>
        </w:rPr>
        <w:fldChar w:fldCharType="begin"/>
      </w:r>
      <w:r>
        <w:rPr>
          <w:rFonts w:hint="eastAsia" w:ascii="仿宋" w:hAnsi="仿宋" w:eastAsia="仿宋"/>
        </w:rPr>
        <w:instrText xml:space="preserve"> INCLUDEPICTURE  "https://mmbiz.qpic.cn/sz_mmbiz_jpg/MB6Klw8sicpWsnHxHn9eYhwNgyJiaZHFEgEjdy8lVl64Vrsf8egcXcCeZGNzx71MsuCHgWK3uRZ6bRK8cxjxfa8g/640?wx_fmt=jpeg&amp;from=appmsg&amp;wxfrom=13" \* MERGEFORMATINET </w:instrText>
      </w:r>
      <w:r>
        <w:rPr>
          <w:rFonts w:hint="eastAsia" w:ascii="仿宋" w:hAnsi="仿宋" w:eastAsia="仿宋"/>
        </w:rPr>
        <w:fldChar w:fldCharType="separate"/>
      </w:r>
      <w:r>
        <w:rPr>
          <w:rFonts w:ascii="仿宋" w:hAnsi="仿宋" w:eastAsia="仿宋"/>
        </w:rPr>
        <w:pict>
          <v:shape id="_x0000_i1030" o:spt="75" alt="IMG_256" type="#_x0000_t75" style="height:155.45pt;width:255.15pt;" filled="f" o:preferrelative="t" stroked="f" coordsize="21600,21600">
            <v:path/>
            <v:fill on="f" focussize="0,0"/>
            <v:stroke on="f" joinstyle="miter"/>
            <v:imagedata r:id="rId26" r:href="rId27" o:title=""/>
            <o:lock v:ext="edit" aspectratio="t"/>
            <w10:wrap type="none"/>
            <w10:anchorlock/>
          </v:shape>
        </w:pict>
      </w:r>
      <w:r>
        <w:rPr>
          <w:rFonts w:hint="eastAsia" w:ascii="仿宋" w:hAnsi="仿宋" w:eastAsia="仿宋"/>
        </w:rPr>
        <w:fldChar w:fldCharType="end"/>
      </w:r>
      <w:r>
        <w:rPr>
          <w:rFonts w:hint="eastAsia" w:ascii="仿宋" w:hAnsi="仿宋" w:eastAsia="仿宋"/>
        </w:rPr>
        <w:fldChar w:fldCharType="end"/>
      </w:r>
      <w:r>
        <w:rPr>
          <w:rFonts w:hint="eastAsia" w:ascii="仿宋" w:hAnsi="仿宋" w:eastAsia="仿宋"/>
        </w:rPr>
        <w:fldChar w:fldCharType="end"/>
      </w:r>
      <w:r>
        <w:rPr>
          <w:rFonts w:hint="eastAsia" w:ascii="仿宋" w:hAnsi="仿宋" w:eastAsia="仿宋"/>
        </w:rPr>
        <w:fldChar w:fldCharType="end"/>
      </w:r>
      <w:r>
        <w:rPr>
          <w:rFonts w:ascii="仿宋" w:hAnsi="仿宋" w:eastAsia="仿宋"/>
        </w:rPr>
        <w:fldChar w:fldCharType="end"/>
      </w:r>
    </w:p>
    <w:p w14:paraId="65645BB6">
      <w:pPr>
        <w:pStyle w:val="21"/>
        <w:spacing w:before="0" w:beforeAutospacing="0" w:after="0" w:afterAutospacing="0" w:line="360" w:lineRule="auto"/>
        <w:ind w:firstLine="480"/>
        <w:jc w:val="center"/>
        <w:rPr>
          <w:rFonts w:ascii="仿宋" w:hAnsi="仿宋" w:eastAsia="仿宋"/>
        </w:rPr>
      </w:pPr>
      <w:r>
        <w:rPr>
          <w:rFonts w:hint="eastAsia" w:ascii="仿宋" w:hAnsi="仿宋" w:eastAsia="仿宋"/>
        </w:rPr>
        <w:t>图：中骏世界城项目</w:t>
      </w:r>
    </w:p>
    <w:p w14:paraId="1D4F252C">
      <w:pPr>
        <w:pStyle w:val="2"/>
        <w:numPr>
          <w:ilvl w:val="0"/>
          <w:numId w:val="5"/>
        </w:numPr>
        <w:rPr>
          <w:rFonts w:hint="eastAsia" w:ascii="仿宋" w:hAnsi="仿宋" w:cs="Arial"/>
          <w:color w:val="222222"/>
          <w:kern w:val="0"/>
          <w:szCs w:val="24"/>
          <w:shd w:val="clear" w:color="auto" w:fill="FFFFFF"/>
          <w:lang w:bidi="ar"/>
        </w:rPr>
      </w:pPr>
      <w:bookmarkStart w:id="61" w:name="_Toc182576461"/>
      <w:r>
        <w:rPr>
          <w:rFonts w:hint="eastAsia" w:ascii="仿宋" w:hAnsi="仿宋" w:cs="Arial"/>
          <w:color w:val="222222"/>
          <w:kern w:val="0"/>
          <w:szCs w:val="24"/>
          <w:shd w:val="clear" w:color="auto" w:fill="FFFFFF"/>
          <w:lang w:bidi="ar"/>
        </w:rPr>
        <w:t>青岛TOD一号工程荣获国际设计大奖</w:t>
      </w:r>
      <w:bookmarkEnd w:id="61"/>
    </w:p>
    <w:p w14:paraId="650DA454">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10月14日消息，日前，2024年第九届美国建筑大师奖（The Architecture MasterPrize，简称AMP）公布项目获奖名单，青岛TOD一号工程城市设计荣获Urban Planning组别WINNER大奖。青岛TOD一号工程是城市更新建设攻坚行动中重点推进的低效片区之一，地处市区几何中心，占地面积约3平方公里。</w:t>
      </w:r>
      <w:r>
        <w:rPr>
          <w:rFonts w:ascii="仿宋" w:hAnsi="仿宋" w:eastAsia="仿宋" w:cs="Arial"/>
          <w:color w:val="222222"/>
          <w:shd w:val="clear" w:color="auto" w:fill="FFFFFF"/>
          <w:lang w:bidi="ar"/>
        </w:rPr>
        <w:t>在整体规划上，片区充分利用交通枢纽强大的辐射能力和效能优势，塑造一个独具城市人文气质的超一流的多维枢纽站，重点构建胶州湾东岸枢纽型新经济产业生态圈，引导枢纽客流，打造枢纽特色商业。利用地铁三线交汇优势，突出TOD引领，多样化功能组团在站前以云网紧密串联，汇聚人气，营造以人为本，复合开放的TOD门户客厅。</w:t>
      </w:r>
    </w:p>
    <w:p w14:paraId="75E19840">
      <w:pPr>
        <w:pStyle w:val="2"/>
        <w:numPr>
          <w:ilvl w:val="0"/>
          <w:numId w:val="5"/>
        </w:numPr>
        <w:rPr>
          <w:rFonts w:hint="eastAsia" w:ascii="仿宋" w:hAnsi="仿宋" w:cs="Arial"/>
          <w:color w:val="222222"/>
          <w:kern w:val="0"/>
          <w:szCs w:val="24"/>
          <w:shd w:val="clear" w:color="auto" w:fill="FFFFFF"/>
          <w:lang w:bidi="ar"/>
        </w:rPr>
      </w:pPr>
      <w:bookmarkStart w:id="62" w:name="_Toc182576462"/>
      <w:r>
        <w:rPr>
          <w:rFonts w:hint="eastAsia" w:ascii="仿宋" w:hAnsi="仿宋" w:cs="Arial"/>
          <w:color w:val="222222"/>
          <w:kern w:val="0"/>
          <w:szCs w:val="24"/>
          <w:shd w:val="clear" w:color="auto" w:fill="FFFFFF"/>
          <w:lang w:bidi="ar"/>
        </w:rPr>
        <w:t>天津首个地铁结建附属用房</w:t>
      </w:r>
      <w:r>
        <w:rPr>
          <w:rFonts w:hint="eastAsia" w:ascii="仿宋" w:hAnsi="仿宋" w:cs="Arial"/>
          <w:color w:val="000000" w:themeColor="text1"/>
          <w:szCs w:val="28"/>
          <w:shd w:val="clear" w:color="auto" w:fill="FFFFFF"/>
          <w14:textFill>
            <w14:solidFill>
              <w14:schemeClr w14:val="tx1"/>
            </w14:solidFill>
          </w14:textFill>
        </w:rPr>
        <w:t>项目</w:t>
      </w:r>
      <w:r>
        <w:rPr>
          <w:rFonts w:hint="eastAsia" w:ascii="仿宋" w:hAnsi="仿宋" w:cs="Arial"/>
          <w:color w:val="222222"/>
          <w:kern w:val="0"/>
          <w:szCs w:val="24"/>
          <w:shd w:val="clear" w:color="auto" w:fill="FFFFFF"/>
          <w:lang w:bidi="ar"/>
        </w:rPr>
        <w:t>取得不动产权证书</w:t>
      </w:r>
      <w:bookmarkEnd w:id="62"/>
    </w:p>
    <w:p w14:paraId="6A9ABED1">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17日，由天津轨道交通集团所属资源公司经营的天津市首个地铁结建附属用房——地铁6号线宜宾道站地铁附属用房项目成功取得不动产权证书，标志着该项目不仅成为可经营的标准化资产，同时也是天津市首个地铁结建附属用房登记发证的项目。此次成功取证为轨道交通资源开发“三新”“三量”工作提供了经济增长的新抓手和突破口。</w:t>
      </w:r>
    </w:p>
    <w:p w14:paraId="57258232">
      <w:pPr>
        <w:pStyle w:val="2"/>
        <w:numPr>
          <w:ilvl w:val="0"/>
          <w:numId w:val="5"/>
        </w:numPr>
        <w:rPr>
          <w:rFonts w:hint="eastAsia" w:ascii="仿宋" w:hAnsi="仿宋" w:cs="Arial"/>
          <w:color w:val="222222"/>
          <w:kern w:val="0"/>
          <w:szCs w:val="24"/>
          <w:shd w:val="clear" w:color="auto" w:fill="FFFFFF"/>
          <w:lang w:bidi="ar"/>
        </w:rPr>
      </w:pPr>
      <w:bookmarkStart w:id="63" w:name="_Toc182576463"/>
      <w:r>
        <w:rPr>
          <w:rFonts w:hint="eastAsia" w:ascii="仿宋" w:hAnsi="仿宋" w:cs="Arial"/>
          <w:color w:val="222222"/>
          <w:kern w:val="0"/>
          <w:szCs w:val="24"/>
          <w:shd w:val="clear" w:color="auto" w:fill="FFFFFF"/>
          <w:lang w:bidi="ar"/>
        </w:rPr>
        <w:t>东莞北部片区最大商业</w:t>
      </w:r>
      <w:r>
        <w:rPr>
          <w:rFonts w:hint="eastAsia" w:ascii="仿宋" w:hAnsi="仿宋" w:cs="Arial"/>
          <w:color w:val="000000" w:themeColor="text1"/>
          <w:szCs w:val="28"/>
          <w:shd w:val="clear" w:color="auto" w:fill="FFFFFF"/>
          <w14:textFill>
            <w14:solidFill>
              <w14:schemeClr w14:val="tx1"/>
            </w14:solidFill>
          </w14:textFill>
        </w:rPr>
        <w:t>综合体</w:t>
      </w:r>
      <w:r>
        <w:rPr>
          <w:rFonts w:hint="eastAsia" w:ascii="仿宋" w:hAnsi="仿宋" w:cs="Arial"/>
          <w:color w:val="222222"/>
          <w:kern w:val="0"/>
          <w:szCs w:val="24"/>
          <w:shd w:val="clear" w:color="auto" w:fill="FFFFFF"/>
          <w:lang w:bidi="ar"/>
        </w:rPr>
        <w:t>-旗云广场招商中心入市</w:t>
      </w:r>
      <w:bookmarkEnd w:id="63"/>
    </w:p>
    <w:p w14:paraId="4AA601A9">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10月23日，以“东莞城市封面 缤纷生活地标”为主题的旗云广场招商中心启幕仪式在东莞火车站前广场举行。旗云广场位于东莞火车站TOD核心区域，聚焦“湾区交享乐园”定位，将探索打造POD（TOD+PARK）公园式商业综合体。该项目是目前东莞北部片区规模最大的商业体，由东实集团投资建设、招商运营，预计明年中旬交付。</w:t>
      </w:r>
    </w:p>
    <w:p w14:paraId="048A82C6">
      <w:pPr>
        <w:pStyle w:val="21"/>
        <w:spacing w:before="0" w:beforeAutospacing="0" w:after="0" w:afterAutospacing="0" w:line="360" w:lineRule="auto"/>
        <w:ind w:firstLine="480"/>
        <w:jc w:val="center"/>
        <w:rPr>
          <w:rFonts w:hint="eastAsia" w:ascii="仿宋" w:hAnsi="仿宋"/>
        </w:rPr>
      </w:pPr>
      <w:r>
        <w:rPr>
          <w:rFonts w:ascii="仿宋" w:hAnsi="仿宋"/>
          <w:lang w:bidi="ar"/>
        </w:rPr>
        <w:fldChar w:fldCharType="begin"/>
      </w:r>
      <w:r>
        <w:rPr>
          <w:rFonts w:ascii="仿宋" w:hAnsi="仿宋"/>
          <w:lang w:bidi="ar"/>
        </w:rPr>
        <w:instrText xml:space="preserve">INCLUDEPICTURE \d "https://mmbiz.qpic.cn/mmbiz_jpg/WiaRpA7j5JGzDTdhPRhBbE6xcbSAfPuspWRNU8Ss1ZIhBaec8O4KqnkC3ib8c5csNy2rI1A7Am1RZ8RKU4kWkq6Q/640?wx_fmt=jpeg&amp;tp=wxpic&amp;wxfrom=5&amp;wx_lazy=1&amp;wx_co=1" \* MERGEFORMATINET </w:instrText>
      </w:r>
      <w:r>
        <w:rPr>
          <w:rFonts w:ascii="仿宋" w:hAnsi="仿宋"/>
          <w:lang w:bidi="ar"/>
        </w:rPr>
        <w:fldChar w:fldCharType="separate"/>
      </w:r>
      <w:r>
        <w:rPr>
          <w:rFonts w:hint="eastAsia" w:ascii="仿宋" w:hAnsi="仿宋"/>
          <w:lang w:bidi="ar"/>
        </w:rPr>
        <w:fldChar w:fldCharType="begin"/>
      </w:r>
      <w:r>
        <w:rPr>
          <w:rFonts w:hint="eastAsia" w:ascii="仿宋" w:hAnsi="仿宋"/>
          <w:lang w:bidi="ar"/>
        </w:rPr>
        <w:instrText xml:space="preserve"> INCLUDEPICTURE  "https://mmbiz.qpic.cn/mmbiz_jpg/WiaRpA7j5JGzDTdhPRhBbE6xcbSAfPuspWRNU8Ss1ZIhBaec8O4KqnkC3ib8c5csNy2rI1A7Am1RZ8RKU4kWkq6Q/640?wx_fmt=jpeg&amp;tp=wxpic&amp;wxfrom=5&amp;wx_lazy=1&amp;wx_co=1" \* MERGEFORMATINET </w:instrText>
      </w:r>
      <w:r>
        <w:rPr>
          <w:rFonts w:hint="eastAsia" w:ascii="仿宋" w:hAnsi="仿宋"/>
          <w:lang w:bidi="ar"/>
        </w:rPr>
        <w:fldChar w:fldCharType="separate"/>
      </w:r>
      <w:r>
        <w:rPr>
          <w:rFonts w:hint="eastAsia" w:ascii="仿宋" w:hAnsi="仿宋"/>
          <w:lang w:bidi="ar"/>
        </w:rPr>
        <w:fldChar w:fldCharType="begin"/>
      </w:r>
      <w:r>
        <w:rPr>
          <w:rFonts w:hint="eastAsia" w:ascii="仿宋" w:hAnsi="仿宋"/>
          <w:lang w:bidi="ar"/>
        </w:rPr>
        <w:instrText xml:space="preserve"> INCLUDEPICTURE  "https://mmbiz.qpic.cn/mmbiz_jpg/WiaRpA7j5JGzDTdhPRhBbE6xcbSAfPuspWRNU8Ss1ZIhBaec8O4KqnkC3ib8c5csNy2rI1A7Am1RZ8RKU4kWkq6Q/640?wx_fmt=jpeg&amp;tp=wxpic&amp;wxfrom=5&amp;wx_lazy=1&amp;wx_co=1" \* MERGEFORMATINET </w:instrText>
      </w:r>
      <w:r>
        <w:rPr>
          <w:rFonts w:hint="eastAsia" w:ascii="仿宋" w:hAnsi="仿宋"/>
          <w:lang w:bidi="ar"/>
        </w:rPr>
        <w:fldChar w:fldCharType="separate"/>
      </w:r>
      <w:r>
        <w:rPr>
          <w:rFonts w:hint="eastAsia" w:ascii="仿宋" w:hAnsi="仿宋"/>
          <w:lang w:bidi="ar"/>
        </w:rPr>
        <w:fldChar w:fldCharType="begin"/>
      </w:r>
      <w:r>
        <w:rPr>
          <w:rFonts w:hint="eastAsia" w:ascii="仿宋" w:hAnsi="仿宋"/>
          <w:lang w:bidi="ar"/>
        </w:rPr>
        <w:instrText xml:space="preserve"> INCLUDEPICTURE  "https://mmbiz.qpic.cn/mmbiz_jpg/WiaRpA7j5JGzDTdhPRhBbE6xcbSAfPuspWRNU8Ss1ZIhBaec8O4KqnkC3ib8c5csNy2rI1A7Am1RZ8RKU4kWkq6Q/640?wx_fmt=jpeg&amp;tp=wxpic&amp;wxfrom=5&amp;wx_lazy=1&amp;wx_co=1" \* MERGEFORMATINET </w:instrText>
      </w:r>
      <w:r>
        <w:rPr>
          <w:rFonts w:hint="eastAsia" w:ascii="仿宋" w:hAnsi="仿宋"/>
          <w:lang w:bidi="ar"/>
        </w:rPr>
        <w:fldChar w:fldCharType="separate"/>
      </w:r>
      <w:r>
        <w:rPr>
          <w:rFonts w:hint="eastAsia" w:ascii="仿宋" w:hAnsi="仿宋"/>
          <w:lang w:bidi="ar"/>
        </w:rPr>
        <w:fldChar w:fldCharType="begin"/>
      </w:r>
      <w:r>
        <w:rPr>
          <w:rFonts w:hint="eastAsia" w:ascii="仿宋" w:hAnsi="仿宋"/>
          <w:lang w:bidi="ar"/>
        </w:rPr>
        <w:instrText xml:space="preserve"> INCLUDEPICTURE  "https://mmbiz.qpic.cn/mmbiz_jpg/WiaRpA7j5JGzDTdhPRhBbE6xcbSAfPuspWRNU8Ss1ZIhBaec8O4KqnkC3ib8c5csNy2rI1A7Am1RZ8RKU4kWkq6Q/640?wx_fmt=jpeg&amp;tp=wxpic&amp;wxfrom=5&amp;wx_lazy=1&amp;wx_co=1" \* MERGEFORMATINET </w:instrText>
      </w:r>
      <w:r>
        <w:rPr>
          <w:rFonts w:hint="eastAsia" w:ascii="仿宋" w:hAnsi="仿宋"/>
          <w:lang w:bidi="ar"/>
        </w:rPr>
        <w:fldChar w:fldCharType="separate"/>
      </w:r>
      <w:r>
        <w:rPr>
          <w:rFonts w:ascii="仿宋" w:hAnsi="仿宋"/>
          <w:lang w:bidi="ar"/>
        </w:rPr>
        <w:pict>
          <v:shape id="_x0000_i1031" o:spt="75" alt="IMG_256" type="#_x0000_t75" style="height:156.9pt;width:255.95pt;" filled="f" o:preferrelative="t" stroked="f" coordsize="21600,21600">
            <v:path/>
            <v:fill on="f" focussize="0,0"/>
            <v:stroke on="f" joinstyle="miter"/>
            <v:imagedata r:id="rId28" r:href="rId29" o:title=""/>
            <o:lock v:ext="edit" aspectratio="t"/>
            <w10:wrap type="none"/>
            <w10:anchorlock/>
          </v:shape>
        </w:pict>
      </w:r>
      <w:r>
        <w:rPr>
          <w:rFonts w:hint="eastAsia" w:ascii="仿宋" w:hAnsi="仿宋"/>
          <w:lang w:bidi="ar"/>
        </w:rPr>
        <w:fldChar w:fldCharType="end"/>
      </w:r>
      <w:r>
        <w:rPr>
          <w:rFonts w:hint="eastAsia" w:ascii="仿宋" w:hAnsi="仿宋"/>
          <w:lang w:bidi="ar"/>
        </w:rPr>
        <w:fldChar w:fldCharType="end"/>
      </w:r>
      <w:r>
        <w:rPr>
          <w:rFonts w:hint="eastAsia" w:ascii="仿宋" w:hAnsi="仿宋"/>
          <w:lang w:bidi="ar"/>
        </w:rPr>
        <w:fldChar w:fldCharType="end"/>
      </w:r>
      <w:r>
        <w:rPr>
          <w:rFonts w:hint="eastAsia" w:ascii="仿宋" w:hAnsi="仿宋"/>
          <w:lang w:bidi="ar"/>
        </w:rPr>
        <w:fldChar w:fldCharType="end"/>
      </w:r>
      <w:r>
        <w:rPr>
          <w:rFonts w:ascii="仿宋" w:hAnsi="仿宋"/>
          <w:lang w:bidi="ar"/>
        </w:rPr>
        <w:fldChar w:fldCharType="end"/>
      </w:r>
    </w:p>
    <w:p w14:paraId="12891126">
      <w:pPr>
        <w:pStyle w:val="21"/>
        <w:spacing w:before="0" w:beforeAutospacing="0" w:after="0" w:afterAutospacing="0" w:line="360" w:lineRule="auto"/>
        <w:ind w:firstLine="480"/>
        <w:jc w:val="center"/>
        <w:rPr>
          <w:rFonts w:hint="eastAsia" w:ascii="仿宋" w:hAnsi="仿宋" w:eastAsia="仿宋"/>
        </w:rPr>
      </w:pPr>
      <w:r>
        <w:rPr>
          <w:rFonts w:hint="eastAsia" w:ascii="仿宋" w:hAnsi="仿宋" w:eastAsia="仿宋"/>
        </w:rPr>
        <w:t>图：</w:t>
      </w:r>
      <w:r>
        <w:rPr>
          <w:rFonts w:ascii="仿宋" w:hAnsi="仿宋" w:eastAsia="仿宋"/>
        </w:rPr>
        <w:t>项目效果图</w:t>
      </w:r>
    </w:p>
    <w:p w14:paraId="7AC4DB62">
      <w:pPr>
        <w:pStyle w:val="2"/>
        <w:numPr>
          <w:ilvl w:val="0"/>
          <w:numId w:val="5"/>
        </w:numPr>
        <w:rPr>
          <w:rFonts w:hint="eastAsia" w:ascii="仿宋" w:hAnsi="仿宋" w:cs="Arial"/>
          <w:color w:val="222222"/>
          <w:kern w:val="0"/>
          <w:szCs w:val="24"/>
          <w:shd w:val="clear" w:color="auto" w:fill="FFFFFF"/>
          <w:lang w:bidi="ar"/>
        </w:rPr>
      </w:pPr>
      <w:bookmarkStart w:id="64" w:name="_Toc182576464"/>
      <w:r>
        <w:rPr>
          <w:rFonts w:hint="eastAsia" w:ascii="仿宋" w:hAnsi="仿宋" w:cs="Arial"/>
          <w:color w:val="222222"/>
          <w:kern w:val="0"/>
          <w:szCs w:val="24"/>
          <w:shd w:val="clear" w:color="auto" w:fill="FFFFFF"/>
          <w:lang w:bidi="ar"/>
        </w:rPr>
        <w:t>成都首个TOD未来社区生活中心亮相</w:t>
      </w:r>
      <w:bookmarkEnd w:id="64"/>
    </w:p>
    <w:p w14:paraId="011943C5">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24日，位于成都市武侯区双凤桥TOD项目的“隔壁子·未来社区生活中心”正式亮相。作为以TOD轨道生活为载体的全自持运营社区商业，“隔壁子·未来社区生活中心”与传统社区商业不同，依托双凤桥TOD一体化城市设计，以开放、共建、温度为核心设计理念，一站式集成住宅、公寓、酒店、商业、休闲等多元业态及生活场景，从更高维度满足市民对美好生活的向往。该中心占地约3700平方米，重点规划了用以活动开展和文化交流的公益空间，集学习、交友、办公于一体的青年共享空间，以及涵盖餐饮、休闲、娱乐等日常需求的生活空间。</w:t>
      </w:r>
    </w:p>
    <w:p w14:paraId="2B59B457">
      <w:pPr>
        <w:pStyle w:val="21"/>
        <w:spacing w:before="0" w:beforeAutospacing="0" w:after="0" w:afterAutospacing="0" w:line="360" w:lineRule="auto"/>
        <w:ind w:firstLine="480"/>
        <w:jc w:val="center"/>
        <w:rPr>
          <w:rFonts w:hint="eastAsia" w:ascii="仿宋" w:hAnsi="仿宋" w:eastAsia="仿宋"/>
        </w:rPr>
      </w:pPr>
      <w:r>
        <w:rPr>
          <w:rFonts w:ascii="仿宋" w:hAnsi="仿宋" w:eastAsia="仿宋"/>
          <w:spacing w:val="12"/>
          <w:shd w:val="clear" w:color="auto" w:fill="FFFFFF"/>
        </w:rPr>
        <w:fldChar w:fldCharType="begin"/>
      </w:r>
      <w:r>
        <w:rPr>
          <w:rFonts w:ascii="仿宋" w:hAnsi="仿宋" w:eastAsia="仿宋"/>
          <w:spacing w:val="12"/>
          <w:shd w:val="clear" w:color="auto" w:fill="FFFFFF"/>
        </w:rPr>
        <w:instrText xml:space="preserve">INCLUDEPICTURE \d "https://mmbiz.qpic.cn/mmbiz_jpg/u9a9tOa2rCAgliaLQvgSCNj4icDBoB4fj2LicELNeVC7EkdJuKXmRK06ERVRdMTTlHgJq2ZzhQxMVXpVRaicgeN72A/640?wx_fmt=jpeg&amp;from=appmsg&amp;wxfrom=13&amp;tp=wxpic" \* MERGEFORMATINET </w:instrText>
      </w:r>
      <w:r>
        <w:rPr>
          <w:rFonts w:ascii="仿宋" w:hAnsi="仿宋" w:eastAsia="仿宋"/>
          <w:spacing w:val="12"/>
          <w:shd w:val="clear" w:color="auto" w:fill="FFFFFF"/>
        </w:rPr>
        <w:fldChar w:fldCharType="separate"/>
      </w:r>
      <w:r>
        <w:rPr>
          <w:rFonts w:hint="eastAsia" w:ascii="仿宋" w:hAnsi="仿宋" w:eastAsia="仿宋"/>
          <w:spacing w:val="12"/>
          <w:shd w:val="clear" w:color="auto" w:fill="FFFFFF"/>
        </w:rPr>
        <w:fldChar w:fldCharType="begin"/>
      </w:r>
      <w:r>
        <w:rPr>
          <w:rFonts w:hint="eastAsia" w:ascii="仿宋" w:hAnsi="仿宋" w:eastAsia="仿宋"/>
          <w:spacing w:val="12"/>
          <w:shd w:val="clear" w:color="auto" w:fill="FFFFFF"/>
        </w:rPr>
        <w:instrText xml:space="preserve"> INCLUDEPICTURE  "https://mmbiz.qpic.cn/mmbiz_jpg/u9a9tOa2rCAgliaLQvgSCNj4icDBoB4fj2LicELNeVC7EkdJuKXmRK06ERVRdMTTlHgJq2ZzhQxMVXpVRaicgeN72A/640?wx_fmt=jpeg&amp;from=appmsg&amp;wxfrom=13&amp;tp=wxpic" \* MERGEFORMATINET </w:instrText>
      </w:r>
      <w:r>
        <w:rPr>
          <w:rFonts w:hint="eastAsia" w:ascii="仿宋" w:hAnsi="仿宋" w:eastAsia="仿宋"/>
          <w:spacing w:val="12"/>
          <w:shd w:val="clear" w:color="auto" w:fill="FFFFFF"/>
        </w:rPr>
        <w:fldChar w:fldCharType="separate"/>
      </w:r>
      <w:r>
        <w:rPr>
          <w:rFonts w:hint="eastAsia" w:ascii="仿宋" w:hAnsi="仿宋" w:eastAsia="仿宋"/>
          <w:spacing w:val="12"/>
          <w:shd w:val="clear" w:color="auto" w:fill="FFFFFF"/>
        </w:rPr>
        <w:fldChar w:fldCharType="begin"/>
      </w:r>
      <w:r>
        <w:rPr>
          <w:rFonts w:hint="eastAsia" w:ascii="仿宋" w:hAnsi="仿宋" w:eastAsia="仿宋"/>
          <w:spacing w:val="12"/>
          <w:shd w:val="clear" w:color="auto" w:fill="FFFFFF"/>
        </w:rPr>
        <w:instrText xml:space="preserve"> INCLUDEPICTURE  "https://mmbiz.qpic.cn/mmbiz_jpg/u9a9tOa2rCAgliaLQvgSCNj4icDBoB4fj2LicELNeVC7EkdJuKXmRK06ERVRdMTTlHgJq2ZzhQxMVXpVRaicgeN72A/640?wx_fmt=jpeg&amp;from=appmsg&amp;wxfrom=13&amp;tp=wxpic" \* MERGEFORMATINET </w:instrText>
      </w:r>
      <w:r>
        <w:rPr>
          <w:rFonts w:hint="eastAsia" w:ascii="仿宋" w:hAnsi="仿宋" w:eastAsia="仿宋"/>
          <w:spacing w:val="12"/>
          <w:shd w:val="clear" w:color="auto" w:fill="FFFFFF"/>
        </w:rPr>
        <w:fldChar w:fldCharType="separate"/>
      </w:r>
      <w:r>
        <w:rPr>
          <w:rFonts w:hint="eastAsia" w:ascii="仿宋" w:hAnsi="仿宋" w:eastAsia="仿宋"/>
          <w:spacing w:val="12"/>
          <w:shd w:val="clear" w:color="auto" w:fill="FFFFFF"/>
        </w:rPr>
        <w:fldChar w:fldCharType="begin"/>
      </w:r>
      <w:r>
        <w:rPr>
          <w:rFonts w:hint="eastAsia" w:ascii="仿宋" w:hAnsi="仿宋" w:eastAsia="仿宋"/>
          <w:spacing w:val="12"/>
          <w:shd w:val="clear" w:color="auto" w:fill="FFFFFF"/>
        </w:rPr>
        <w:instrText xml:space="preserve"> INCLUDEPICTURE  "https://mmbiz.qpic.cn/mmbiz_jpg/u9a9tOa2rCAgliaLQvgSCNj4icDBoB4fj2LicELNeVC7EkdJuKXmRK06ERVRdMTTlHgJq2ZzhQxMVXpVRaicgeN72A/640?wx_fmt=jpeg&amp;from=appmsg&amp;wxfrom=13&amp;tp=wxpic" \* MERGEFORMATINET </w:instrText>
      </w:r>
      <w:r>
        <w:rPr>
          <w:rFonts w:hint="eastAsia" w:ascii="仿宋" w:hAnsi="仿宋" w:eastAsia="仿宋"/>
          <w:spacing w:val="12"/>
          <w:shd w:val="clear" w:color="auto" w:fill="FFFFFF"/>
        </w:rPr>
        <w:fldChar w:fldCharType="separate"/>
      </w:r>
      <w:r>
        <w:rPr>
          <w:rFonts w:hint="eastAsia" w:ascii="仿宋" w:hAnsi="仿宋" w:eastAsia="仿宋"/>
          <w:spacing w:val="12"/>
          <w:shd w:val="clear" w:color="auto" w:fill="FFFFFF"/>
        </w:rPr>
        <w:fldChar w:fldCharType="begin"/>
      </w:r>
      <w:r>
        <w:rPr>
          <w:rFonts w:hint="eastAsia" w:ascii="仿宋" w:hAnsi="仿宋" w:eastAsia="仿宋"/>
          <w:spacing w:val="12"/>
          <w:shd w:val="clear" w:color="auto" w:fill="FFFFFF"/>
        </w:rPr>
        <w:instrText xml:space="preserve"> INCLUDEPICTURE  "https://mmbiz.qpic.cn/mmbiz_jpg/u9a9tOa2rCAgliaLQvgSCNj4icDBoB4fj2LicELNeVC7EkdJuKXmRK06ERVRdMTTlHgJq2ZzhQxMVXpVRaicgeN72A/640?wx_fmt=jpeg&amp;from=appmsg&amp;wxfrom=13&amp;tp=wxpic" \* MERGEFORMATINET </w:instrText>
      </w:r>
      <w:r>
        <w:rPr>
          <w:rFonts w:hint="eastAsia" w:ascii="仿宋" w:hAnsi="仿宋" w:eastAsia="仿宋"/>
          <w:spacing w:val="12"/>
          <w:shd w:val="clear" w:color="auto" w:fill="FFFFFF"/>
        </w:rPr>
        <w:fldChar w:fldCharType="separate"/>
      </w:r>
      <w:r>
        <w:rPr>
          <w:rFonts w:ascii="仿宋" w:hAnsi="仿宋" w:eastAsia="仿宋"/>
          <w:spacing w:val="12"/>
          <w:shd w:val="clear" w:color="auto" w:fill="FFFFFF"/>
        </w:rPr>
        <w:pict>
          <v:shape id="_x0000_i1032" o:spt="75" alt="IMG_256" type="#_x0000_t75" style="height:157.7pt;width:254.35pt;" filled="f" o:preferrelative="t" stroked="f" coordsize="21600,21600">
            <v:path/>
            <v:fill on="f" focussize="0,0"/>
            <v:stroke on="f" joinstyle="miter"/>
            <v:imagedata r:id="rId30" r:href="rId31" o:title=""/>
            <o:lock v:ext="edit" aspectratio="t"/>
            <w10:wrap type="none"/>
            <w10:anchorlock/>
          </v:shape>
        </w:pict>
      </w:r>
      <w:r>
        <w:rPr>
          <w:rFonts w:hint="eastAsia" w:ascii="仿宋" w:hAnsi="仿宋" w:eastAsia="仿宋"/>
          <w:spacing w:val="12"/>
          <w:shd w:val="clear" w:color="auto" w:fill="FFFFFF"/>
        </w:rPr>
        <w:fldChar w:fldCharType="end"/>
      </w:r>
      <w:r>
        <w:rPr>
          <w:rFonts w:hint="eastAsia" w:ascii="仿宋" w:hAnsi="仿宋" w:eastAsia="仿宋"/>
          <w:spacing w:val="12"/>
          <w:shd w:val="clear" w:color="auto" w:fill="FFFFFF"/>
        </w:rPr>
        <w:fldChar w:fldCharType="end"/>
      </w:r>
      <w:r>
        <w:rPr>
          <w:rFonts w:hint="eastAsia" w:ascii="仿宋" w:hAnsi="仿宋" w:eastAsia="仿宋"/>
          <w:spacing w:val="12"/>
          <w:shd w:val="clear" w:color="auto" w:fill="FFFFFF"/>
        </w:rPr>
        <w:fldChar w:fldCharType="end"/>
      </w:r>
      <w:r>
        <w:rPr>
          <w:rFonts w:hint="eastAsia" w:ascii="仿宋" w:hAnsi="仿宋" w:eastAsia="仿宋"/>
          <w:spacing w:val="12"/>
          <w:shd w:val="clear" w:color="auto" w:fill="FFFFFF"/>
        </w:rPr>
        <w:fldChar w:fldCharType="end"/>
      </w:r>
      <w:r>
        <w:rPr>
          <w:rFonts w:ascii="仿宋" w:hAnsi="仿宋" w:eastAsia="仿宋"/>
          <w:spacing w:val="12"/>
          <w:shd w:val="clear" w:color="auto" w:fill="FFFFFF"/>
        </w:rPr>
        <w:fldChar w:fldCharType="end"/>
      </w:r>
    </w:p>
    <w:p w14:paraId="2B6835D7">
      <w:pPr>
        <w:pStyle w:val="21"/>
        <w:spacing w:before="0" w:beforeAutospacing="0" w:after="0" w:afterAutospacing="0" w:line="360" w:lineRule="auto"/>
        <w:ind w:firstLine="480"/>
        <w:jc w:val="center"/>
        <w:rPr>
          <w:rFonts w:ascii="仿宋" w:hAnsi="仿宋" w:eastAsia="仿宋"/>
        </w:rPr>
      </w:pPr>
      <w:r>
        <w:rPr>
          <w:rFonts w:hint="eastAsia" w:ascii="仿宋" w:hAnsi="仿宋" w:eastAsia="仿宋"/>
        </w:rPr>
        <w:t>图：</w:t>
      </w:r>
      <w:r>
        <w:rPr>
          <w:rFonts w:ascii="仿宋" w:hAnsi="仿宋" w:eastAsia="仿宋"/>
        </w:rPr>
        <w:t>双凤桥TOD未来社区</w:t>
      </w:r>
    </w:p>
    <w:p w14:paraId="27A8A9D4">
      <w:pPr>
        <w:pStyle w:val="2"/>
        <w:numPr>
          <w:ilvl w:val="0"/>
          <w:numId w:val="5"/>
        </w:numPr>
        <w:rPr>
          <w:rFonts w:hint="eastAsia" w:ascii="仿宋" w:hAnsi="仿宋" w:cs="Arial"/>
          <w:b w:val="0"/>
          <w:bCs w:val="0"/>
          <w:color w:val="222222"/>
          <w:kern w:val="0"/>
          <w:szCs w:val="24"/>
          <w:shd w:val="clear" w:color="auto" w:fill="FFFFFF"/>
          <w:lang w:bidi="ar"/>
        </w:rPr>
      </w:pPr>
      <w:bookmarkStart w:id="65" w:name="_Toc182576465"/>
      <w:r>
        <w:rPr>
          <w:rFonts w:hint="eastAsia" w:ascii="仿宋" w:hAnsi="仿宋" w:cs="Arial"/>
          <w:color w:val="222222"/>
          <w:kern w:val="0"/>
          <w:szCs w:val="24"/>
          <w:shd w:val="clear" w:color="auto" w:fill="FFFFFF"/>
          <w:lang w:bidi="ar"/>
        </w:rPr>
        <w:t>西安</w:t>
      </w:r>
      <w:r>
        <w:rPr>
          <w:rFonts w:hint="eastAsia" w:ascii="仿宋" w:hAnsi="仿宋" w:cs="Arial"/>
          <w:color w:val="222222"/>
          <w:shd w:val="clear" w:color="auto" w:fill="FFFFFF"/>
          <w:lang w:bidi="ar"/>
        </w:rPr>
        <w:t>首例陆空TOD综合体-</w:t>
      </w:r>
      <w:r>
        <w:rPr>
          <w:rFonts w:ascii="仿宋" w:hAnsi="仿宋" w:cs="Arial"/>
          <w:color w:val="222222"/>
          <w:shd w:val="clear" w:color="auto" w:fill="FFFFFF"/>
          <w:lang w:bidi="ar"/>
        </w:rPr>
        <w:t>西安环贸中心招商推介会</w:t>
      </w:r>
      <w:r>
        <w:rPr>
          <w:rFonts w:hint="eastAsia" w:ascii="仿宋" w:hAnsi="仿宋" w:cs="Arial"/>
          <w:color w:val="222222"/>
          <w:shd w:val="clear" w:color="auto" w:fill="FFFFFF"/>
          <w:lang w:bidi="ar"/>
        </w:rPr>
        <w:t>举行</w:t>
      </w:r>
      <w:bookmarkEnd w:id="65"/>
    </w:p>
    <w:p w14:paraId="0C87F4F3">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10月25日，西安环贸中心招商推介会在西安高新举行，通过引入系列优质资源和先进的商业运营理念，助力城市商业高质量发展。</w:t>
      </w:r>
      <w:r>
        <w:rPr>
          <w:rFonts w:hint="eastAsia" w:ascii="仿宋" w:hAnsi="仿宋" w:eastAsia="仿宋" w:cs="Arial"/>
          <w:color w:val="222222"/>
          <w:shd w:val="clear" w:color="auto" w:fill="FFFFFF"/>
          <w:lang w:bidi="ar"/>
        </w:rPr>
        <w:t>西安环贸中心是西安首例陆空TOD综合体,项目定位“城市自由美好加速中心”，采用“1＋2＋3”构造，即一座5A超甲级写字楼、两大配套和3种分层化立体交通。其中两大配套——西安ICC环贸天地购物中心和西安高新区万豪酒店，致力于打造一个提供给商务客群在快节奏的工作生活中享受自由美好的松弛场所。围绕西安环贸中心的地铁、云巴双轨道交通，以及配置的机场快线使其成为西安商业史上第一个真正意义上成功开发的TOD模式商业综合体。</w:t>
      </w:r>
    </w:p>
    <w:p w14:paraId="13C71A3B">
      <w:pPr>
        <w:pStyle w:val="2"/>
        <w:numPr>
          <w:ilvl w:val="0"/>
          <w:numId w:val="5"/>
        </w:numPr>
        <w:rPr>
          <w:rFonts w:hint="eastAsia" w:ascii="仿宋" w:hAnsi="仿宋" w:cs="Arial"/>
          <w:color w:val="222222"/>
          <w:kern w:val="0"/>
          <w:szCs w:val="24"/>
          <w:shd w:val="clear" w:color="auto" w:fill="FFFFFF"/>
          <w:lang w:bidi="ar"/>
        </w:rPr>
      </w:pPr>
      <w:bookmarkStart w:id="66" w:name="_Toc182576466"/>
      <w:r>
        <w:rPr>
          <w:rFonts w:hint="eastAsia" w:ascii="仿宋" w:hAnsi="仿宋" w:cs="Arial"/>
          <w:color w:val="222222"/>
          <w:kern w:val="0"/>
          <w:szCs w:val="24"/>
          <w:shd w:val="clear" w:color="auto" w:fill="FFFFFF"/>
          <w:lang w:bidi="ar"/>
        </w:rPr>
        <w:t>宁波甬江TOD</w:t>
      </w:r>
      <w:r>
        <w:rPr>
          <w:rFonts w:hint="eastAsia" w:ascii="仿宋" w:hAnsi="仿宋" w:cs="Arial"/>
          <w:color w:val="000000" w:themeColor="text1"/>
          <w:szCs w:val="28"/>
          <w:shd w:val="clear" w:color="auto" w:fill="FFFFFF"/>
          <w14:textFill>
            <w14:solidFill>
              <w14:schemeClr w14:val="tx1"/>
            </w14:solidFill>
          </w14:textFill>
        </w:rPr>
        <w:t>体育公园</w:t>
      </w:r>
      <w:r>
        <w:rPr>
          <w:rFonts w:hint="eastAsia" w:ascii="仿宋" w:hAnsi="仿宋" w:cs="Arial"/>
          <w:color w:val="222222"/>
          <w:kern w:val="0"/>
          <w:szCs w:val="24"/>
          <w:shd w:val="clear" w:color="auto" w:fill="FFFFFF"/>
          <w:lang w:bidi="ar"/>
        </w:rPr>
        <w:t>二期网球等项目迎来试运营</w:t>
      </w:r>
      <w:bookmarkEnd w:id="66"/>
    </w:p>
    <w:p w14:paraId="64294B3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近日，宁波甬江TOD体育公园二期网球等项目迎来试运营。宁波甬江TOD体育公园位于宁波江北区甬江北岸，轨道交通2号线压赛堰站与3号线大通桥站区间。去年9月开园以来，宁波轨道交通持续丰富公园业态，增设马术、网球、匹克球、射击等多个项目，两期总占地约173亩，一站式满足各类运动需求。作为宁波轨道交通临时地块“以用代管”的首次尝试，甬江TOD体育公园也是创新存量土地开发利用的一次创新探索，通过有效利用社会资本和市场化能力，引入体育、商业、文化等多元业态，变“闲置空间”为“活力空间”。项目建成投用以来，大幅改善了周边环境品质，带动城市边角空间更新，进一步激活城市活力和区域经济，形成了城市经济与民生需求的双赢局面。</w:t>
      </w:r>
    </w:p>
    <w:p w14:paraId="7D2FF7C5">
      <w:pPr>
        <w:pStyle w:val="2"/>
        <w:numPr>
          <w:ilvl w:val="0"/>
          <w:numId w:val="5"/>
        </w:numPr>
        <w:rPr>
          <w:rFonts w:hint="eastAsia" w:ascii="仿宋" w:hAnsi="仿宋" w:cs="Arial"/>
          <w:color w:val="222222"/>
          <w:kern w:val="0"/>
          <w:szCs w:val="24"/>
          <w:shd w:val="clear" w:color="auto" w:fill="FFFFFF"/>
          <w:lang w:bidi="ar"/>
        </w:rPr>
      </w:pPr>
      <w:bookmarkStart w:id="67" w:name="_Toc182576467"/>
      <w:r>
        <w:rPr>
          <w:rFonts w:ascii="仿宋" w:hAnsi="仿宋" w:cs="Arial"/>
          <w:color w:val="222222"/>
          <w:kern w:val="0"/>
          <w:szCs w:val="24"/>
          <w:shd w:val="clear" w:color="auto" w:fill="FFFFFF"/>
          <w:lang w:bidi="ar"/>
        </w:rPr>
        <w:t>重庆首个TOD保障性租赁住房</w:t>
      </w:r>
      <w:r>
        <w:rPr>
          <w:rFonts w:hint="eastAsia" w:ascii="仿宋" w:hAnsi="仿宋" w:cs="Arial"/>
          <w:color w:val="222222"/>
          <w:kern w:val="0"/>
          <w:szCs w:val="24"/>
          <w:shd w:val="clear" w:color="auto" w:fill="FFFFFF"/>
          <w:lang w:bidi="ar"/>
        </w:rPr>
        <w:t>-海峡路项目</w:t>
      </w:r>
      <w:r>
        <w:rPr>
          <w:rFonts w:ascii="仿宋" w:hAnsi="仿宋" w:cs="Arial"/>
          <w:color w:val="222222"/>
          <w:kern w:val="0"/>
          <w:szCs w:val="24"/>
          <w:shd w:val="clear" w:color="auto" w:fill="FFFFFF"/>
          <w:lang w:bidi="ar"/>
        </w:rPr>
        <w:t>获批</w:t>
      </w:r>
      <w:bookmarkEnd w:id="67"/>
    </w:p>
    <w:p w14:paraId="504263D1">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10月31日，重庆交通开投轨道集团消息，集团所属的海峡路项目于近日获批重庆市保障性租赁住房项目，这是重庆首个TOD保障性租赁住房项目。</w:t>
      </w:r>
      <w:r>
        <w:rPr>
          <w:rFonts w:ascii="仿宋" w:hAnsi="仿宋" w:eastAsia="仿宋" w:cs="Arial"/>
          <w:color w:val="222222"/>
          <w:shd w:val="clear" w:color="auto" w:fill="FFFFFF"/>
          <w:lang w:bidi="ar"/>
        </w:rPr>
        <w:t>海峡路项目规划1000余户，推出六种不同户型，可以多层次满足“新市民+青年人”住户的租住需求。项目距四公里站仅150米左右，规划了立体通道与车站相连，租户可从家里直达车站，充分体现了轨道交通TOD项目的便捷优势。</w:t>
      </w:r>
    </w:p>
    <w:p w14:paraId="47220E85">
      <w:pPr>
        <w:widowControl/>
        <w:shd w:val="clear" w:color="auto" w:fill="FFFFFF"/>
        <w:ind w:firstLine="0" w:firstLineChars="0"/>
        <w:jc w:val="center"/>
        <w:rPr>
          <w:rFonts w:hint="eastAsia" w:ascii="仿宋" w:hAnsi="仿宋" w:cs="Arial"/>
          <w:color w:val="000000"/>
          <w:szCs w:val="24"/>
        </w:rPr>
      </w:pPr>
      <w:r>
        <w:rPr>
          <w:rFonts w:ascii="仿宋" w:hAnsi="仿宋" w:cs="Arial"/>
          <w:color w:val="000000"/>
          <w:kern w:val="0"/>
          <w:szCs w:val="24"/>
          <w:shd w:val="clear" w:color="auto" w:fill="FFFFFF"/>
          <w:lang w:bidi="ar"/>
        </w:rPr>
        <w:fldChar w:fldCharType="begin"/>
      </w:r>
      <w:r>
        <w:rPr>
          <w:rFonts w:ascii="仿宋" w:hAnsi="仿宋" w:cs="Arial"/>
          <w:color w:val="000000"/>
          <w:kern w:val="0"/>
          <w:szCs w:val="24"/>
          <w:shd w:val="clear" w:color="auto" w:fill="FFFFFF"/>
          <w:lang w:bidi="ar"/>
        </w:rPr>
        <w:instrText xml:space="preserve">INCLUDEPICTURE \d "https://pics5.baidu.com/feed/4b90f603738da9770c83e76711ca25178718e37c.jpeg@f_auto?token=2bf6d0b622278b82ea74c38383d15d95" \* MERGEFORMATINET </w:instrText>
      </w:r>
      <w:r>
        <w:rPr>
          <w:rFonts w:ascii="仿宋" w:hAnsi="仿宋" w:cs="Arial"/>
          <w:color w:val="000000"/>
          <w:kern w:val="0"/>
          <w:szCs w:val="24"/>
          <w:shd w:val="clear" w:color="auto" w:fill="FFFFFF"/>
          <w:lang w:bidi="ar"/>
        </w:rPr>
        <w:fldChar w:fldCharType="separate"/>
      </w:r>
      <w:r>
        <w:rPr>
          <w:rFonts w:hint="eastAsia" w:ascii="仿宋" w:hAnsi="仿宋" w:cs="Arial"/>
          <w:color w:val="000000"/>
          <w:kern w:val="0"/>
          <w:szCs w:val="24"/>
          <w:shd w:val="clear" w:color="auto" w:fill="FFFFFF"/>
          <w:lang w:bidi="ar"/>
        </w:rPr>
        <w:fldChar w:fldCharType="begin"/>
      </w:r>
      <w:r>
        <w:rPr>
          <w:rFonts w:hint="eastAsia" w:ascii="仿宋" w:hAnsi="仿宋" w:cs="Arial"/>
          <w:color w:val="000000"/>
          <w:kern w:val="0"/>
          <w:szCs w:val="24"/>
          <w:shd w:val="clear" w:color="auto" w:fill="FFFFFF"/>
          <w:lang w:bidi="ar"/>
        </w:rPr>
        <w:instrText xml:space="preserve"> INCLUDEPICTURE  "https://pics5.baidu.com/feed/4b90f603738da9770c83e76711ca25178718e37c.jpeg@f_auto?token=2bf6d0b622278b82ea74c38383d15d95" \* MERGEFORMATINET </w:instrText>
      </w:r>
      <w:r>
        <w:rPr>
          <w:rFonts w:hint="eastAsia" w:ascii="仿宋" w:hAnsi="仿宋" w:cs="Arial"/>
          <w:color w:val="000000"/>
          <w:kern w:val="0"/>
          <w:szCs w:val="24"/>
          <w:shd w:val="clear" w:color="auto" w:fill="FFFFFF"/>
          <w:lang w:bidi="ar"/>
        </w:rPr>
        <w:fldChar w:fldCharType="separate"/>
      </w:r>
      <w:r>
        <w:rPr>
          <w:rFonts w:hint="eastAsia" w:ascii="仿宋" w:hAnsi="仿宋" w:cs="Arial"/>
          <w:color w:val="000000"/>
          <w:kern w:val="0"/>
          <w:szCs w:val="24"/>
          <w:shd w:val="clear" w:color="auto" w:fill="FFFFFF"/>
          <w:lang w:bidi="ar"/>
        </w:rPr>
        <w:fldChar w:fldCharType="begin"/>
      </w:r>
      <w:r>
        <w:rPr>
          <w:rFonts w:hint="eastAsia" w:ascii="仿宋" w:hAnsi="仿宋" w:cs="Arial"/>
          <w:color w:val="000000"/>
          <w:kern w:val="0"/>
          <w:szCs w:val="24"/>
          <w:shd w:val="clear" w:color="auto" w:fill="FFFFFF"/>
          <w:lang w:bidi="ar"/>
        </w:rPr>
        <w:instrText xml:space="preserve"> INCLUDEPICTURE  "https://pics5.baidu.com/feed/4b90f603738da9770c83e76711ca25178718e37c.jpeg@f_auto?token=2bf6d0b622278b82ea74c38383d15d95" \* MERGEFORMATINET </w:instrText>
      </w:r>
      <w:r>
        <w:rPr>
          <w:rFonts w:hint="eastAsia" w:ascii="仿宋" w:hAnsi="仿宋" w:cs="Arial"/>
          <w:color w:val="000000"/>
          <w:kern w:val="0"/>
          <w:szCs w:val="24"/>
          <w:shd w:val="clear" w:color="auto" w:fill="FFFFFF"/>
          <w:lang w:bidi="ar"/>
        </w:rPr>
        <w:fldChar w:fldCharType="separate"/>
      </w:r>
      <w:r>
        <w:rPr>
          <w:rFonts w:hint="eastAsia" w:ascii="仿宋" w:hAnsi="仿宋" w:cs="Arial"/>
          <w:color w:val="000000"/>
          <w:kern w:val="0"/>
          <w:szCs w:val="24"/>
          <w:shd w:val="clear" w:color="auto" w:fill="FFFFFF"/>
          <w:lang w:bidi="ar"/>
        </w:rPr>
        <w:fldChar w:fldCharType="begin"/>
      </w:r>
      <w:r>
        <w:rPr>
          <w:rFonts w:hint="eastAsia" w:ascii="仿宋" w:hAnsi="仿宋" w:cs="Arial"/>
          <w:color w:val="000000"/>
          <w:kern w:val="0"/>
          <w:szCs w:val="24"/>
          <w:shd w:val="clear" w:color="auto" w:fill="FFFFFF"/>
          <w:lang w:bidi="ar"/>
        </w:rPr>
        <w:instrText xml:space="preserve"> INCLUDEPICTURE  "https://pics5.baidu.com/feed/4b90f603738da9770c83e76711ca25178718e37c.jpeg@f_auto?token=2bf6d0b622278b82ea74c38383d15d95" \* MERGEFORMATINET </w:instrText>
      </w:r>
      <w:r>
        <w:rPr>
          <w:rFonts w:hint="eastAsia" w:ascii="仿宋" w:hAnsi="仿宋" w:cs="Arial"/>
          <w:color w:val="000000"/>
          <w:kern w:val="0"/>
          <w:szCs w:val="24"/>
          <w:shd w:val="clear" w:color="auto" w:fill="FFFFFF"/>
          <w:lang w:bidi="ar"/>
        </w:rPr>
        <w:fldChar w:fldCharType="separate"/>
      </w:r>
      <w:r>
        <w:rPr>
          <w:rFonts w:hint="eastAsia" w:ascii="仿宋" w:hAnsi="仿宋" w:cs="Arial"/>
          <w:color w:val="000000"/>
          <w:kern w:val="0"/>
          <w:szCs w:val="24"/>
          <w:shd w:val="clear" w:color="auto" w:fill="FFFFFF"/>
          <w:lang w:bidi="ar"/>
        </w:rPr>
        <w:fldChar w:fldCharType="begin"/>
      </w:r>
      <w:r>
        <w:rPr>
          <w:rFonts w:hint="eastAsia" w:ascii="仿宋" w:hAnsi="仿宋" w:cs="Arial"/>
          <w:color w:val="000000"/>
          <w:kern w:val="0"/>
          <w:szCs w:val="24"/>
          <w:shd w:val="clear" w:color="auto" w:fill="FFFFFF"/>
          <w:lang w:bidi="ar"/>
        </w:rPr>
        <w:instrText xml:space="preserve"> INCLUDEPICTURE  "https://pics5.baidu.com/feed/4b90f603738da9770c83e76711ca25178718e37c.jpeg@f_auto?token=2bf6d0b622278b82ea74c38383d15d95" \* MERGEFORMATINET </w:instrText>
      </w:r>
      <w:r>
        <w:rPr>
          <w:rFonts w:hint="eastAsia" w:ascii="仿宋" w:hAnsi="仿宋" w:cs="Arial"/>
          <w:color w:val="000000"/>
          <w:kern w:val="0"/>
          <w:szCs w:val="24"/>
          <w:shd w:val="clear" w:color="auto" w:fill="FFFFFF"/>
          <w:lang w:bidi="ar"/>
        </w:rPr>
        <w:fldChar w:fldCharType="separate"/>
      </w:r>
      <w:r>
        <w:rPr>
          <w:rFonts w:ascii="仿宋" w:hAnsi="仿宋" w:cs="Arial"/>
          <w:color w:val="000000"/>
          <w:kern w:val="0"/>
          <w:szCs w:val="24"/>
          <w:shd w:val="clear" w:color="auto" w:fill="FFFFFF"/>
          <w:lang w:bidi="ar"/>
        </w:rPr>
        <w:pict>
          <v:shape id="_x0000_i1033" o:spt="75" alt="IMG_256" type="#_x0000_t75" style="height:156.3pt;width:255.35pt;" filled="f" o:preferrelative="t" stroked="f" coordsize="21600,21600">
            <v:path/>
            <v:fill on="f" focussize="0,0"/>
            <v:stroke on="f" joinstyle="miter"/>
            <v:imagedata r:id="rId32" r:href="rId33" o:title=""/>
            <o:lock v:ext="edit" aspectratio="t"/>
            <w10:wrap type="none"/>
            <w10:anchorlock/>
          </v:shape>
        </w:pict>
      </w:r>
      <w:r>
        <w:rPr>
          <w:rFonts w:hint="eastAsia" w:ascii="仿宋" w:hAnsi="仿宋" w:cs="Arial"/>
          <w:color w:val="000000"/>
          <w:kern w:val="0"/>
          <w:szCs w:val="24"/>
          <w:shd w:val="clear" w:color="auto" w:fill="FFFFFF"/>
          <w:lang w:bidi="ar"/>
        </w:rPr>
        <w:fldChar w:fldCharType="end"/>
      </w:r>
      <w:r>
        <w:rPr>
          <w:rFonts w:hint="eastAsia" w:ascii="仿宋" w:hAnsi="仿宋" w:cs="Arial"/>
          <w:color w:val="000000"/>
          <w:kern w:val="0"/>
          <w:szCs w:val="24"/>
          <w:shd w:val="clear" w:color="auto" w:fill="FFFFFF"/>
          <w:lang w:bidi="ar"/>
        </w:rPr>
        <w:fldChar w:fldCharType="end"/>
      </w:r>
      <w:r>
        <w:rPr>
          <w:rFonts w:hint="eastAsia" w:ascii="仿宋" w:hAnsi="仿宋" w:cs="Arial"/>
          <w:color w:val="000000"/>
          <w:kern w:val="0"/>
          <w:szCs w:val="24"/>
          <w:shd w:val="clear" w:color="auto" w:fill="FFFFFF"/>
          <w:lang w:bidi="ar"/>
        </w:rPr>
        <w:fldChar w:fldCharType="end"/>
      </w:r>
      <w:r>
        <w:rPr>
          <w:rFonts w:hint="eastAsia" w:ascii="仿宋" w:hAnsi="仿宋" w:cs="Arial"/>
          <w:color w:val="000000"/>
          <w:kern w:val="0"/>
          <w:szCs w:val="24"/>
          <w:shd w:val="clear" w:color="auto" w:fill="FFFFFF"/>
          <w:lang w:bidi="ar"/>
        </w:rPr>
        <w:fldChar w:fldCharType="end"/>
      </w:r>
      <w:r>
        <w:rPr>
          <w:rFonts w:ascii="仿宋" w:hAnsi="仿宋" w:cs="Arial"/>
          <w:color w:val="000000"/>
          <w:kern w:val="0"/>
          <w:szCs w:val="24"/>
          <w:shd w:val="clear" w:color="auto" w:fill="FFFFFF"/>
          <w:lang w:bidi="ar"/>
        </w:rPr>
        <w:fldChar w:fldCharType="end"/>
      </w:r>
    </w:p>
    <w:p w14:paraId="6FED4C31">
      <w:pPr>
        <w:widowControl/>
        <w:shd w:val="clear" w:color="auto" w:fill="FFFFFF"/>
        <w:ind w:firstLine="480"/>
        <w:jc w:val="center"/>
        <w:rPr>
          <w:rFonts w:hint="eastAsia" w:ascii="仿宋" w:hAnsi="仿宋" w:cs="Arial"/>
          <w:color w:val="222222"/>
          <w:kern w:val="0"/>
          <w:szCs w:val="24"/>
          <w:shd w:val="clear" w:color="auto" w:fill="FFFFFF"/>
          <w:lang w:bidi="ar"/>
        </w:rPr>
      </w:pPr>
      <w:r>
        <w:rPr>
          <w:rFonts w:hint="eastAsia" w:ascii="仿宋" w:hAnsi="仿宋" w:cs="Arial"/>
          <w:color w:val="222222"/>
          <w:kern w:val="0"/>
          <w:szCs w:val="24"/>
          <w:shd w:val="clear" w:color="auto" w:fill="FFFFFF"/>
          <w:lang w:bidi="ar"/>
        </w:rPr>
        <w:t>图：</w:t>
      </w:r>
      <w:r>
        <w:rPr>
          <w:rFonts w:ascii="仿宋" w:hAnsi="仿宋" w:cs="Arial"/>
          <w:color w:val="222222"/>
          <w:kern w:val="0"/>
          <w:szCs w:val="24"/>
          <w:shd w:val="clear" w:color="auto" w:fill="FFFFFF"/>
          <w:lang w:bidi="ar"/>
        </w:rPr>
        <w:t>项目效果图</w:t>
      </w:r>
    </w:p>
    <w:p w14:paraId="4F9039FA">
      <w:pPr>
        <w:ind w:firstLine="480"/>
        <w:rPr>
          <w:rFonts w:hint="eastAsia" w:ascii="仿宋" w:hAnsi="仿宋"/>
          <w:szCs w:val="36"/>
        </w:rPr>
        <w:sectPr>
          <w:pgSz w:w="11906" w:h="16838"/>
          <w:pgMar w:top="1440" w:right="1800" w:bottom="1440" w:left="1800" w:header="1474" w:footer="964" w:gutter="0"/>
          <w:cols w:space="425" w:num="1"/>
          <w:docGrid w:type="lines" w:linePitch="326" w:charSpace="0"/>
        </w:sectPr>
      </w:pPr>
    </w:p>
    <w:p w14:paraId="492103A8">
      <w:pPr>
        <w:ind w:firstLine="480"/>
        <w:rPr>
          <w:rFonts w:hint="eastAsia" w:ascii="仿宋" w:hAnsi="仿宋"/>
          <w:szCs w:val="36"/>
        </w:rPr>
      </w:pPr>
      <w:r>
        <w:rPr>
          <w:rFonts w:hint="eastAsia" w:ascii="仿宋" w:hAnsi="仿宋"/>
          <w:szCs w:val="28"/>
        </w:rPr>
        <w:drawing>
          <wp:anchor distT="0" distB="0" distL="114300" distR="114300" simplePos="0" relativeHeight="251663360" behindDoc="1" locked="0" layoutInCell="1" allowOverlap="1">
            <wp:simplePos x="0" y="0"/>
            <wp:positionH relativeFrom="margin">
              <wp:align>center</wp:align>
            </wp:positionH>
            <wp:positionV relativeFrom="paragraph">
              <wp:posOffset>-901700</wp:posOffset>
            </wp:positionV>
            <wp:extent cx="7542530" cy="10664825"/>
            <wp:effectExtent l="0" t="0" r="127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42627" cy="10664867"/>
                    </a:xfrm>
                    <a:prstGeom prst="rect">
                      <a:avLst/>
                    </a:prstGeom>
                  </pic:spPr>
                </pic:pic>
              </a:graphicData>
            </a:graphic>
          </wp:anchor>
        </w:drawing>
      </w:r>
    </w:p>
    <w:p w14:paraId="2707E75A">
      <w:pPr>
        <w:ind w:firstLine="480"/>
        <w:rPr>
          <w:rFonts w:hint="eastAsia" w:ascii="仿宋" w:hAnsi="仿宋"/>
          <w:szCs w:val="36"/>
        </w:rPr>
      </w:pPr>
    </w:p>
    <w:p w14:paraId="62E4CC8B">
      <w:pPr>
        <w:ind w:firstLine="480"/>
        <w:rPr>
          <w:rFonts w:hint="eastAsia" w:ascii="仿宋" w:hAnsi="仿宋"/>
          <w:szCs w:val="28"/>
        </w:rPr>
      </w:pPr>
      <w:r>
        <w:rPr>
          <w:rFonts w:ascii="仿宋" w:hAnsi="仿宋"/>
        </w:rPr>
        <mc:AlternateContent>
          <mc:Choice Requires="wps">
            <w:drawing>
              <wp:anchor distT="45720" distB="45720" distL="114300" distR="114300" simplePos="0" relativeHeight="251664384" behindDoc="0" locked="0" layoutInCell="1" allowOverlap="1">
                <wp:simplePos x="0" y="0"/>
                <wp:positionH relativeFrom="column">
                  <wp:posOffset>1531620</wp:posOffset>
                </wp:positionH>
                <wp:positionV relativeFrom="paragraph">
                  <wp:posOffset>855980</wp:posOffset>
                </wp:positionV>
                <wp:extent cx="2106295" cy="1280160"/>
                <wp:effectExtent l="0" t="0" r="0" b="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6295" cy="1280160"/>
                        </a:xfrm>
                        <a:prstGeom prst="rect">
                          <a:avLst/>
                        </a:prstGeom>
                        <a:noFill/>
                        <a:ln w="9525">
                          <a:noFill/>
                          <a:miter lim="800000"/>
                        </a:ln>
                      </wps:spPr>
                      <wps:txbx>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120.6pt;margin-top:67.4pt;height:100.8pt;width:165.85pt;mso-wrap-distance-bottom:3.6pt;mso-wrap-distance-left:9pt;mso-wrap-distance-right:9pt;mso-wrap-distance-top:3.6pt;z-index:251664384;mso-width-relative:margin;mso-height-relative:margin;mso-width-percent:400;mso-height-percent:200;" filled="f" stroked="f" coordsize="21600,21600" o:gfxdata="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6187YAAAACwEAAA8AAAAAAAAAAQAgAAAAIgAAAGRycy9kb3ducmV2LnhtbFBLAQIUABQAAAAI&#10;AIdO4kAzxNFtJgIAACoEAAAOAAAAAAAAAAEAIAAAACcBAABkcnMvZTJvRG9jLnhtbFBLBQYAAAAA&#10;BgAGAFkBAAC/BQAAAAA=&#10;">
                <v:fill on="f" focussize="0,0"/>
                <v:stroke on="f" miterlimit="8" joinstyle="miter"/>
                <v:imagedata o:title=""/>
                <o:lock v:ext="edit" aspectratio="f"/>
                <v:textbox style="mso-fit-shape-to-text:t;">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仿宋_GB2312">
    <w:panose1 w:val="02000000000000000000"/>
    <w:charset w:val="86"/>
    <w:family w:val="auto"/>
    <w:pitch w:val="default"/>
    <w:sig w:usb0="A00002BF" w:usb1="184F6CFA" w:usb2="00000012" w:usb3="00000000" w:csb0="00040001" w:csb1="00000000"/>
  </w:font>
  <w:font w:name="方正仿宋_GBK">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458022"/>
      <w:docPartObj>
        <w:docPartGallery w:val="AutoText"/>
      </w:docPartObj>
    </w:sdtPr>
    <w:sdtContent>
      <w:p w14:paraId="5CB8950F">
        <w:pPr>
          <w:pStyle w:val="15"/>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810E90F">
    <w:pPr>
      <w:pStyle w:val="1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71D">
    <w:pPr>
      <w:pStyle w:val="1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645C">
    <w:pPr>
      <w:pStyle w:val="1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6754">
    <w:pPr>
      <w:pStyle w:val="16"/>
      <w:pBdr>
        <w:bottom w:val="none" w:color="auto" w:sz="0" w:space="0"/>
      </w:pBdr>
      <w:ind w:firstLine="480"/>
      <w:rPr>
        <w:rFonts w:hint="eastAsia"/>
      </w:rPr>
    </w:pPr>
    <w:r>
      <w:rPr>
        <w:rFonts w:hint="eastAsia" w:ascii="仿宋" w:hAnsi="仿宋"/>
        <w:sz w:val="24"/>
        <w:szCs w:val="36"/>
      </w:rPr>
      <w:drawing>
        <wp:anchor distT="0" distB="0" distL="114300" distR="114300" simplePos="0" relativeHeight="251660288"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1689270013" name="图片 168927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70013" name="图片 16892700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D5B50">
    <w:pPr>
      <w:pStyle w:val="16"/>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EC6D">
    <w:pPr>
      <w:pStyle w:val="16"/>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6C0">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2336"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435533951" name="图片 4355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3951" name="图片 43553395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F6C3">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1312"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948416721" name="图片 94841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16721" name="图片 9484167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D6C09"/>
    <w:multiLevelType w:val="multilevel"/>
    <w:tmpl w:val="0ADD6C09"/>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6F52F68"/>
    <w:multiLevelType w:val="multilevel"/>
    <w:tmpl w:val="26F52F68"/>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CFD346D"/>
    <w:multiLevelType w:val="multilevel"/>
    <w:tmpl w:val="2CFD346D"/>
    <w:lvl w:ilvl="0" w:tentative="0">
      <w:start w:val="1"/>
      <w:numFmt w:val="bullet"/>
      <w:pStyle w:val="22"/>
      <w:lvlText w:val=""/>
      <w:lvlJc w:val="left"/>
      <w:pPr>
        <w:ind w:left="420" w:hanging="420"/>
      </w:pPr>
      <w:rPr>
        <w:rFonts w:hint="default" w:ascii="Wingdings" w:hAnsi="Wingdings"/>
      </w:rPr>
    </w:lvl>
    <w:lvl w:ilvl="1" w:tentative="0">
      <w:start w:val="1"/>
      <w:numFmt w:val="bullet"/>
      <w:pStyle w:val="18"/>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31E224B"/>
    <w:multiLevelType w:val="multilevel"/>
    <w:tmpl w:val="431E224B"/>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CD55DB0"/>
    <w:multiLevelType w:val="multilevel"/>
    <w:tmpl w:val="7CD55DB0"/>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47"/>
    <w:rsid w:val="00000211"/>
    <w:rsid w:val="00001568"/>
    <w:rsid w:val="00003C2D"/>
    <w:rsid w:val="00004B22"/>
    <w:rsid w:val="00007B7E"/>
    <w:rsid w:val="000105CE"/>
    <w:rsid w:val="00010AAC"/>
    <w:rsid w:val="0001284A"/>
    <w:rsid w:val="0001370D"/>
    <w:rsid w:val="00014BF4"/>
    <w:rsid w:val="000167A1"/>
    <w:rsid w:val="000179F5"/>
    <w:rsid w:val="00020116"/>
    <w:rsid w:val="00020170"/>
    <w:rsid w:val="00020A19"/>
    <w:rsid w:val="00020B19"/>
    <w:rsid w:val="0002155E"/>
    <w:rsid w:val="00023A7E"/>
    <w:rsid w:val="00025B53"/>
    <w:rsid w:val="0002641E"/>
    <w:rsid w:val="00030514"/>
    <w:rsid w:val="000316B5"/>
    <w:rsid w:val="00032EF8"/>
    <w:rsid w:val="000369C6"/>
    <w:rsid w:val="00040674"/>
    <w:rsid w:val="00041C05"/>
    <w:rsid w:val="000427BE"/>
    <w:rsid w:val="0004280B"/>
    <w:rsid w:val="00045767"/>
    <w:rsid w:val="00045A8D"/>
    <w:rsid w:val="00046852"/>
    <w:rsid w:val="00050D93"/>
    <w:rsid w:val="000524B4"/>
    <w:rsid w:val="000538A1"/>
    <w:rsid w:val="00055E97"/>
    <w:rsid w:val="00056742"/>
    <w:rsid w:val="00056B5A"/>
    <w:rsid w:val="00056DA1"/>
    <w:rsid w:val="00057A4A"/>
    <w:rsid w:val="00060FE7"/>
    <w:rsid w:val="000614BF"/>
    <w:rsid w:val="00061828"/>
    <w:rsid w:val="00061B91"/>
    <w:rsid w:val="0006310C"/>
    <w:rsid w:val="000669D2"/>
    <w:rsid w:val="000726E2"/>
    <w:rsid w:val="00081D97"/>
    <w:rsid w:val="00082B29"/>
    <w:rsid w:val="00083A19"/>
    <w:rsid w:val="00086765"/>
    <w:rsid w:val="00087FE4"/>
    <w:rsid w:val="000914A2"/>
    <w:rsid w:val="00091F60"/>
    <w:rsid w:val="00093841"/>
    <w:rsid w:val="00093D0D"/>
    <w:rsid w:val="00093EE1"/>
    <w:rsid w:val="00094049"/>
    <w:rsid w:val="0009499A"/>
    <w:rsid w:val="0009540A"/>
    <w:rsid w:val="000A047E"/>
    <w:rsid w:val="000A2D6E"/>
    <w:rsid w:val="000A75E6"/>
    <w:rsid w:val="000B3882"/>
    <w:rsid w:val="000B496D"/>
    <w:rsid w:val="000B4FD2"/>
    <w:rsid w:val="000B6379"/>
    <w:rsid w:val="000C0EEA"/>
    <w:rsid w:val="000C125E"/>
    <w:rsid w:val="000C362F"/>
    <w:rsid w:val="000C3CB1"/>
    <w:rsid w:val="000C51DD"/>
    <w:rsid w:val="000C5490"/>
    <w:rsid w:val="000C5E30"/>
    <w:rsid w:val="000C5E75"/>
    <w:rsid w:val="000C5F7A"/>
    <w:rsid w:val="000C5FD7"/>
    <w:rsid w:val="000C68CD"/>
    <w:rsid w:val="000D1385"/>
    <w:rsid w:val="000D3D83"/>
    <w:rsid w:val="000D5176"/>
    <w:rsid w:val="000E36D6"/>
    <w:rsid w:val="000E56C7"/>
    <w:rsid w:val="000F1676"/>
    <w:rsid w:val="000F2AB9"/>
    <w:rsid w:val="000F308B"/>
    <w:rsid w:val="000F3E0B"/>
    <w:rsid w:val="00100243"/>
    <w:rsid w:val="001033B2"/>
    <w:rsid w:val="001039C1"/>
    <w:rsid w:val="00103BF8"/>
    <w:rsid w:val="00103E77"/>
    <w:rsid w:val="001043E4"/>
    <w:rsid w:val="00106410"/>
    <w:rsid w:val="00107286"/>
    <w:rsid w:val="00107304"/>
    <w:rsid w:val="00111E43"/>
    <w:rsid w:val="0011287D"/>
    <w:rsid w:val="00112E2E"/>
    <w:rsid w:val="001131BA"/>
    <w:rsid w:val="00113380"/>
    <w:rsid w:val="0011422C"/>
    <w:rsid w:val="00116136"/>
    <w:rsid w:val="0012111B"/>
    <w:rsid w:val="0012391C"/>
    <w:rsid w:val="00123F59"/>
    <w:rsid w:val="00124FB2"/>
    <w:rsid w:val="00126B7C"/>
    <w:rsid w:val="0012710F"/>
    <w:rsid w:val="00132F9D"/>
    <w:rsid w:val="00134FAD"/>
    <w:rsid w:val="001362C7"/>
    <w:rsid w:val="00140AE2"/>
    <w:rsid w:val="00141DC7"/>
    <w:rsid w:val="00141E1E"/>
    <w:rsid w:val="00142817"/>
    <w:rsid w:val="0014422F"/>
    <w:rsid w:val="00145315"/>
    <w:rsid w:val="00145DE7"/>
    <w:rsid w:val="00146C3F"/>
    <w:rsid w:val="001505DE"/>
    <w:rsid w:val="00150636"/>
    <w:rsid w:val="00150B2A"/>
    <w:rsid w:val="00152E8F"/>
    <w:rsid w:val="00152F3F"/>
    <w:rsid w:val="00153066"/>
    <w:rsid w:val="00153CF3"/>
    <w:rsid w:val="00154120"/>
    <w:rsid w:val="00154149"/>
    <w:rsid w:val="0015538D"/>
    <w:rsid w:val="001559B7"/>
    <w:rsid w:val="00156EFD"/>
    <w:rsid w:val="00157E9F"/>
    <w:rsid w:val="00160642"/>
    <w:rsid w:val="0016196D"/>
    <w:rsid w:val="00161ED1"/>
    <w:rsid w:val="001621A8"/>
    <w:rsid w:val="0016383E"/>
    <w:rsid w:val="00163882"/>
    <w:rsid w:val="001649C1"/>
    <w:rsid w:val="001650F2"/>
    <w:rsid w:val="00165B1D"/>
    <w:rsid w:val="00167173"/>
    <w:rsid w:val="001718B5"/>
    <w:rsid w:val="00171ABF"/>
    <w:rsid w:val="00172080"/>
    <w:rsid w:val="00172726"/>
    <w:rsid w:val="00175AC8"/>
    <w:rsid w:val="00175F6C"/>
    <w:rsid w:val="001778D0"/>
    <w:rsid w:val="00177C22"/>
    <w:rsid w:val="0018279E"/>
    <w:rsid w:val="0018323F"/>
    <w:rsid w:val="00185906"/>
    <w:rsid w:val="00186342"/>
    <w:rsid w:val="001868C6"/>
    <w:rsid w:val="00186950"/>
    <w:rsid w:val="0018796D"/>
    <w:rsid w:val="00190296"/>
    <w:rsid w:val="00190A78"/>
    <w:rsid w:val="00191D87"/>
    <w:rsid w:val="00192D2D"/>
    <w:rsid w:val="001933EA"/>
    <w:rsid w:val="001960CC"/>
    <w:rsid w:val="0019690B"/>
    <w:rsid w:val="0019780A"/>
    <w:rsid w:val="001A324B"/>
    <w:rsid w:val="001A40BD"/>
    <w:rsid w:val="001A57AA"/>
    <w:rsid w:val="001B093C"/>
    <w:rsid w:val="001B1248"/>
    <w:rsid w:val="001B1CCB"/>
    <w:rsid w:val="001B3A5A"/>
    <w:rsid w:val="001B3B2E"/>
    <w:rsid w:val="001B45D4"/>
    <w:rsid w:val="001C107B"/>
    <w:rsid w:val="001C356E"/>
    <w:rsid w:val="001C412B"/>
    <w:rsid w:val="001C49E7"/>
    <w:rsid w:val="001C4EB5"/>
    <w:rsid w:val="001C6E97"/>
    <w:rsid w:val="001C7EDF"/>
    <w:rsid w:val="001D00A6"/>
    <w:rsid w:val="001D0525"/>
    <w:rsid w:val="001D18DF"/>
    <w:rsid w:val="001D216E"/>
    <w:rsid w:val="001D24BB"/>
    <w:rsid w:val="001D2A30"/>
    <w:rsid w:val="001D2C8C"/>
    <w:rsid w:val="001D32C1"/>
    <w:rsid w:val="001D3587"/>
    <w:rsid w:val="001D66D9"/>
    <w:rsid w:val="001E407C"/>
    <w:rsid w:val="001E4108"/>
    <w:rsid w:val="001E41C9"/>
    <w:rsid w:val="001E7607"/>
    <w:rsid w:val="001F2200"/>
    <w:rsid w:val="001F2F73"/>
    <w:rsid w:val="001F35F5"/>
    <w:rsid w:val="001F65AA"/>
    <w:rsid w:val="001F6DB7"/>
    <w:rsid w:val="001F6FDA"/>
    <w:rsid w:val="001F737F"/>
    <w:rsid w:val="001F7E1D"/>
    <w:rsid w:val="0020031A"/>
    <w:rsid w:val="00200B3A"/>
    <w:rsid w:val="00200BAC"/>
    <w:rsid w:val="00202A0D"/>
    <w:rsid w:val="00203787"/>
    <w:rsid w:val="002044A2"/>
    <w:rsid w:val="00205096"/>
    <w:rsid w:val="00205D7B"/>
    <w:rsid w:val="002100D0"/>
    <w:rsid w:val="002110B8"/>
    <w:rsid w:val="002119B4"/>
    <w:rsid w:val="00211BD9"/>
    <w:rsid w:val="00213E59"/>
    <w:rsid w:val="00217B5A"/>
    <w:rsid w:val="0022046D"/>
    <w:rsid w:val="00220E63"/>
    <w:rsid w:val="002219E7"/>
    <w:rsid w:val="002225CC"/>
    <w:rsid w:val="00223264"/>
    <w:rsid w:val="002255E3"/>
    <w:rsid w:val="0022783B"/>
    <w:rsid w:val="0023223B"/>
    <w:rsid w:val="002342C7"/>
    <w:rsid w:val="00236567"/>
    <w:rsid w:val="00237278"/>
    <w:rsid w:val="00237A64"/>
    <w:rsid w:val="00240334"/>
    <w:rsid w:val="0024504B"/>
    <w:rsid w:val="00253138"/>
    <w:rsid w:val="0025581B"/>
    <w:rsid w:val="00255E7A"/>
    <w:rsid w:val="00256978"/>
    <w:rsid w:val="00257CEB"/>
    <w:rsid w:val="00257DEF"/>
    <w:rsid w:val="00260182"/>
    <w:rsid w:val="00260388"/>
    <w:rsid w:val="00261F9A"/>
    <w:rsid w:val="0026238C"/>
    <w:rsid w:val="00264660"/>
    <w:rsid w:val="002647AE"/>
    <w:rsid w:val="00264A8E"/>
    <w:rsid w:val="00265326"/>
    <w:rsid w:val="00266710"/>
    <w:rsid w:val="002669ED"/>
    <w:rsid w:val="00267014"/>
    <w:rsid w:val="00270CA8"/>
    <w:rsid w:val="00271D68"/>
    <w:rsid w:val="00272E6C"/>
    <w:rsid w:val="0027422E"/>
    <w:rsid w:val="00274372"/>
    <w:rsid w:val="00275363"/>
    <w:rsid w:val="00276494"/>
    <w:rsid w:val="002777FB"/>
    <w:rsid w:val="00280205"/>
    <w:rsid w:val="0028432E"/>
    <w:rsid w:val="002850A9"/>
    <w:rsid w:val="00286D65"/>
    <w:rsid w:val="0028729D"/>
    <w:rsid w:val="00290024"/>
    <w:rsid w:val="0029076B"/>
    <w:rsid w:val="00291C03"/>
    <w:rsid w:val="00291DE6"/>
    <w:rsid w:val="00292684"/>
    <w:rsid w:val="00292C4B"/>
    <w:rsid w:val="0029364F"/>
    <w:rsid w:val="002969DF"/>
    <w:rsid w:val="002A07BE"/>
    <w:rsid w:val="002A3779"/>
    <w:rsid w:val="002A3A67"/>
    <w:rsid w:val="002A43D3"/>
    <w:rsid w:val="002A5010"/>
    <w:rsid w:val="002A6019"/>
    <w:rsid w:val="002A6410"/>
    <w:rsid w:val="002B090E"/>
    <w:rsid w:val="002B09AB"/>
    <w:rsid w:val="002B1CB4"/>
    <w:rsid w:val="002B30DB"/>
    <w:rsid w:val="002C05A0"/>
    <w:rsid w:val="002C05DB"/>
    <w:rsid w:val="002C0652"/>
    <w:rsid w:val="002C0ED7"/>
    <w:rsid w:val="002C2027"/>
    <w:rsid w:val="002C3274"/>
    <w:rsid w:val="002C337D"/>
    <w:rsid w:val="002C42DE"/>
    <w:rsid w:val="002C58C5"/>
    <w:rsid w:val="002C6A08"/>
    <w:rsid w:val="002C7227"/>
    <w:rsid w:val="002C76DD"/>
    <w:rsid w:val="002C7A99"/>
    <w:rsid w:val="002C7B14"/>
    <w:rsid w:val="002D4B08"/>
    <w:rsid w:val="002D719B"/>
    <w:rsid w:val="002D7763"/>
    <w:rsid w:val="002E0518"/>
    <w:rsid w:val="002E614C"/>
    <w:rsid w:val="002E6731"/>
    <w:rsid w:val="002E694D"/>
    <w:rsid w:val="002F0257"/>
    <w:rsid w:val="002F4757"/>
    <w:rsid w:val="002F573D"/>
    <w:rsid w:val="002F583E"/>
    <w:rsid w:val="002F706A"/>
    <w:rsid w:val="002F7B7C"/>
    <w:rsid w:val="00300A80"/>
    <w:rsid w:val="00303169"/>
    <w:rsid w:val="003039F9"/>
    <w:rsid w:val="00305923"/>
    <w:rsid w:val="00306B23"/>
    <w:rsid w:val="00311785"/>
    <w:rsid w:val="003139DD"/>
    <w:rsid w:val="003149E4"/>
    <w:rsid w:val="003157CE"/>
    <w:rsid w:val="00317A3E"/>
    <w:rsid w:val="00320E72"/>
    <w:rsid w:val="00321DA6"/>
    <w:rsid w:val="00322216"/>
    <w:rsid w:val="00322E4C"/>
    <w:rsid w:val="003239A0"/>
    <w:rsid w:val="00323E90"/>
    <w:rsid w:val="00323EC7"/>
    <w:rsid w:val="003242D6"/>
    <w:rsid w:val="003249E8"/>
    <w:rsid w:val="00324B9E"/>
    <w:rsid w:val="00324DA5"/>
    <w:rsid w:val="00326F5D"/>
    <w:rsid w:val="00330F21"/>
    <w:rsid w:val="00331342"/>
    <w:rsid w:val="00331449"/>
    <w:rsid w:val="00332004"/>
    <w:rsid w:val="003321A7"/>
    <w:rsid w:val="00332C88"/>
    <w:rsid w:val="00333DA3"/>
    <w:rsid w:val="0033406B"/>
    <w:rsid w:val="0033463C"/>
    <w:rsid w:val="0033582F"/>
    <w:rsid w:val="00335855"/>
    <w:rsid w:val="00335991"/>
    <w:rsid w:val="00337A0A"/>
    <w:rsid w:val="00340929"/>
    <w:rsid w:val="00341144"/>
    <w:rsid w:val="003428F7"/>
    <w:rsid w:val="003430D7"/>
    <w:rsid w:val="00343C17"/>
    <w:rsid w:val="0034518F"/>
    <w:rsid w:val="003479E9"/>
    <w:rsid w:val="00350E10"/>
    <w:rsid w:val="00352AF2"/>
    <w:rsid w:val="00354035"/>
    <w:rsid w:val="003577B3"/>
    <w:rsid w:val="00357A7D"/>
    <w:rsid w:val="00357F61"/>
    <w:rsid w:val="00363164"/>
    <w:rsid w:val="0036407A"/>
    <w:rsid w:val="00364FEE"/>
    <w:rsid w:val="00365033"/>
    <w:rsid w:val="00366E6A"/>
    <w:rsid w:val="0036704F"/>
    <w:rsid w:val="0037096F"/>
    <w:rsid w:val="00372B43"/>
    <w:rsid w:val="0037378C"/>
    <w:rsid w:val="00373C22"/>
    <w:rsid w:val="00375A81"/>
    <w:rsid w:val="003761FE"/>
    <w:rsid w:val="00380CD5"/>
    <w:rsid w:val="00381DB2"/>
    <w:rsid w:val="00382227"/>
    <w:rsid w:val="00382251"/>
    <w:rsid w:val="0038233B"/>
    <w:rsid w:val="00383E27"/>
    <w:rsid w:val="00385257"/>
    <w:rsid w:val="003854D5"/>
    <w:rsid w:val="0038573F"/>
    <w:rsid w:val="00386011"/>
    <w:rsid w:val="00386A93"/>
    <w:rsid w:val="0038727F"/>
    <w:rsid w:val="003878F7"/>
    <w:rsid w:val="00390374"/>
    <w:rsid w:val="00390461"/>
    <w:rsid w:val="00390822"/>
    <w:rsid w:val="003923B9"/>
    <w:rsid w:val="003961DA"/>
    <w:rsid w:val="00397279"/>
    <w:rsid w:val="003A1BAF"/>
    <w:rsid w:val="003A2BF3"/>
    <w:rsid w:val="003A312C"/>
    <w:rsid w:val="003A34D3"/>
    <w:rsid w:val="003A46A3"/>
    <w:rsid w:val="003A47AA"/>
    <w:rsid w:val="003B1145"/>
    <w:rsid w:val="003B206F"/>
    <w:rsid w:val="003B29D6"/>
    <w:rsid w:val="003B2E3A"/>
    <w:rsid w:val="003B562B"/>
    <w:rsid w:val="003B5B76"/>
    <w:rsid w:val="003B704F"/>
    <w:rsid w:val="003C0AD6"/>
    <w:rsid w:val="003C0D71"/>
    <w:rsid w:val="003C20EB"/>
    <w:rsid w:val="003C3151"/>
    <w:rsid w:val="003C5283"/>
    <w:rsid w:val="003C52B6"/>
    <w:rsid w:val="003C59E0"/>
    <w:rsid w:val="003C5C1A"/>
    <w:rsid w:val="003D0B78"/>
    <w:rsid w:val="003D1EAC"/>
    <w:rsid w:val="003D2128"/>
    <w:rsid w:val="003D2C50"/>
    <w:rsid w:val="003D34F2"/>
    <w:rsid w:val="003D3AB5"/>
    <w:rsid w:val="003D4CEF"/>
    <w:rsid w:val="003D5918"/>
    <w:rsid w:val="003D5C57"/>
    <w:rsid w:val="003D608E"/>
    <w:rsid w:val="003D7D39"/>
    <w:rsid w:val="003E019A"/>
    <w:rsid w:val="003E1D9D"/>
    <w:rsid w:val="003E24EB"/>
    <w:rsid w:val="003E2C3F"/>
    <w:rsid w:val="003E6A00"/>
    <w:rsid w:val="003E6D43"/>
    <w:rsid w:val="003E7F65"/>
    <w:rsid w:val="003F24F5"/>
    <w:rsid w:val="003F2ABF"/>
    <w:rsid w:val="003F7392"/>
    <w:rsid w:val="003F7560"/>
    <w:rsid w:val="004016E9"/>
    <w:rsid w:val="00401A8D"/>
    <w:rsid w:val="004021F5"/>
    <w:rsid w:val="0040386C"/>
    <w:rsid w:val="00406E36"/>
    <w:rsid w:val="004125EA"/>
    <w:rsid w:val="00412BCF"/>
    <w:rsid w:val="004151C5"/>
    <w:rsid w:val="00421369"/>
    <w:rsid w:val="00421EDF"/>
    <w:rsid w:val="00422F46"/>
    <w:rsid w:val="00424653"/>
    <w:rsid w:val="0042689A"/>
    <w:rsid w:val="00426EF7"/>
    <w:rsid w:val="00431320"/>
    <w:rsid w:val="0043303D"/>
    <w:rsid w:val="0043343F"/>
    <w:rsid w:val="00433C26"/>
    <w:rsid w:val="00433D49"/>
    <w:rsid w:val="00433D7C"/>
    <w:rsid w:val="00434B6A"/>
    <w:rsid w:val="004356DC"/>
    <w:rsid w:val="004363B4"/>
    <w:rsid w:val="004406D7"/>
    <w:rsid w:val="00440946"/>
    <w:rsid w:val="00440D76"/>
    <w:rsid w:val="00443E12"/>
    <w:rsid w:val="00445263"/>
    <w:rsid w:val="00446166"/>
    <w:rsid w:val="0044699D"/>
    <w:rsid w:val="00446DEC"/>
    <w:rsid w:val="00447584"/>
    <w:rsid w:val="0044778B"/>
    <w:rsid w:val="004504DA"/>
    <w:rsid w:val="00453070"/>
    <w:rsid w:val="00453786"/>
    <w:rsid w:val="004555BF"/>
    <w:rsid w:val="00456552"/>
    <w:rsid w:val="00456BFD"/>
    <w:rsid w:val="00456C7A"/>
    <w:rsid w:val="0046071D"/>
    <w:rsid w:val="0046185A"/>
    <w:rsid w:val="0046208B"/>
    <w:rsid w:val="0046275D"/>
    <w:rsid w:val="004631D6"/>
    <w:rsid w:val="00466438"/>
    <w:rsid w:val="00467382"/>
    <w:rsid w:val="00470A85"/>
    <w:rsid w:val="00471588"/>
    <w:rsid w:val="00473E3F"/>
    <w:rsid w:val="004740A0"/>
    <w:rsid w:val="00475696"/>
    <w:rsid w:val="00480BE7"/>
    <w:rsid w:val="00480C91"/>
    <w:rsid w:val="00483700"/>
    <w:rsid w:val="00487C98"/>
    <w:rsid w:val="0049197F"/>
    <w:rsid w:val="0049246C"/>
    <w:rsid w:val="00494AAC"/>
    <w:rsid w:val="004A03BC"/>
    <w:rsid w:val="004A11BD"/>
    <w:rsid w:val="004A1BC0"/>
    <w:rsid w:val="004A262B"/>
    <w:rsid w:val="004A2658"/>
    <w:rsid w:val="004A2D7E"/>
    <w:rsid w:val="004A4184"/>
    <w:rsid w:val="004A585F"/>
    <w:rsid w:val="004A719D"/>
    <w:rsid w:val="004B0372"/>
    <w:rsid w:val="004B5233"/>
    <w:rsid w:val="004B7F78"/>
    <w:rsid w:val="004C0D1E"/>
    <w:rsid w:val="004C4A0F"/>
    <w:rsid w:val="004C504A"/>
    <w:rsid w:val="004D17F0"/>
    <w:rsid w:val="004D2074"/>
    <w:rsid w:val="004D283E"/>
    <w:rsid w:val="004D2AA0"/>
    <w:rsid w:val="004D2F9E"/>
    <w:rsid w:val="004D30B4"/>
    <w:rsid w:val="004D3260"/>
    <w:rsid w:val="004D4111"/>
    <w:rsid w:val="004D5E8E"/>
    <w:rsid w:val="004D60C1"/>
    <w:rsid w:val="004D79DA"/>
    <w:rsid w:val="004E058B"/>
    <w:rsid w:val="004E1C3C"/>
    <w:rsid w:val="004E400C"/>
    <w:rsid w:val="004E4AE1"/>
    <w:rsid w:val="004E513A"/>
    <w:rsid w:val="004E5211"/>
    <w:rsid w:val="004E52A4"/>
    <w:rsid w:val="004E5FB0"/>
    <w:rsid w:val="004F06AD"/>
    <w:rsid w:val="004F1BF3"/>
    <w:rsid w:val="004F4189"/>
    <w:rsid w:val="004F6A45"/>
    <w:rsid w:val="004F6E79"/>
    <w:rsid w:val="004F7C1B"/>
    <w:rsid w:val="005008C7"/>
    <w:rsid w:val="005010A0"/>
    <w:rsid w:val="0050112D"/>
    <w:rsid w:val="005031C1"/>
    <w:rsid w:val="005055AE"/>
    <w:rsid w:val="00505C47"/>
    <w:rsid w:val="00507EDF"/>
    <w:rsid w:val="00510414"/>
    <w:rsid w:val="00510A01"/>
    <w:rsid w:val="00513E0F"/>
    <w:rsid w:val="00513FED"/>
    <w:rsid w:val="00516116"/>
    <w:rsid w:val="0051624E"/>
    <w:rsid w:val="00520436"/>
    <w:rsid w:val="005209BF"/>
    <w:rsid w:val="00521707"/>
    <w:rsid w:val="005300BE"/>
    <w:rsid w:val="005300D0"/>
    <w:rsid w:val="0053262F"/>
    <w:rsid w:val="00534C81"/>
    <w:rsid w:val="005366AB"/>
    <w:rsid w:val="00536790"/>
    <w:rsid w:val="00536A4B"/>
    <w:rsid w:val="00537C6D"/>
    <w:rsid w:val="005416A6"/>
    <w:rsid w:val="00542ED1"/>
    <w:rsid w:val="00544671"/>
    <w:rsid w:val="005466C6"/>
    <w:rsid w:val="00546EF4"/>
    <w:rsid w:val="00547AF8"/>
    <w:rsid w:val="0055154E"/>
    <w:rsid w:val="005536CA"/>
    <w:rsid w:val="00553C16"/>
    <w:rsid w:val="005555DA"/>
    <w:rsid w:val="005564D0"/>
    <w:rsid w:val="00557B55"/>
    <w:rsid w:val="005602DB"/>
    <w:rsid w:val="0056236A"/>
    <w:rsid w:val="0056315E"/>
    <w:rsid w:val="00564311"/>
    <w:rsid w:val="0056431B"/>
    <w:rsid w:val="00567995"/>
    <w:rsid w:val="00570F60"/>
    <w:rsid w:val="00572350"/>
    <w:rsid w:val="00572C49"/>
    <w:rsid w:val="00574F22"/>
    <w:rsid w:val="00574FA0"/>
    <w:rsid w:val="0057581D"/>
    <w:rsid w:val="00575BAB"/>
    <w:rsid w:val="005768EE"/>
    <w:rsid w:val="005800C5"/>
    <w:rsid w:val="005816C8"/>
    <w:rsid w:val="0058267C"/>
    <w:rsid w:val="00584037"/>
    <w:rsid w:val="00585D89"/>
    <w:rsid w:val="00586F79"/>
    <w:rsid w:val="0059078E"/>
    <w:rsid w:val="00590AF7"/>
    <w:rsid w:val="00590B16"/>
    <w:rsid w:val="00593BE5"/>
    <w:rsid w:val="00594AD1"/>
    <w:rsid w:val="00595DC6"/>
    <w:rsid w:val="00596104"/>
    <w:rsid w:val="005A2469"/>
    <w:rsid w:val="005A3A2B"/>
    <w:rsid w:val="005A460E"/>
    <w:rsid w:val="005A4745"/>
    <w:rsid w:val="005A4BD7"/>
    <w:rsid w:val="005A5CC0"/>
    <w:rsid w:val="005A798F"/>
    <w:rsid w:val="005B298F"/>
    <w:rsid w:val="005B2EB5"/>
    <w:rsid w:val="005B2FB0"/>
    <w:rsid w:val="005B517C"/>
    <w:rsid w:val="005B6F5A"/>
    <w:rsid w:val="005C2D87"/>
    <w:rsid w:val="005C3084"/>
    <w:rsid w:val="005C3259"/>
    <w:rsid w:val="005C4024"/>
    <w:rsid w:val="005D1D46"/>
    <w:rsid w:val="005D1D54"/>
    <w:rsid w:val="005D2063"/>
    <w:rsid w:val="005D2DE3"/>
    <w:rsid w:val="005D46A6"/>
    <w:rsid w:val="005D5778"/>
    <w:rsid w:val="005D5E1F"/>
    <w:rsid w:val="005D5EB1"/>
    <w:rsid w:val="005D6BA7"/>
    <w:rsid w:val="005D7E94"/>
    <w:rsid w:val="005E0338"/>
    <w:rsid w:val="005E2E3C"/>
    <w:rsid w:val="005E4146"/>
    <w:rsid w:val="005E5553"/>
    <w:rsid w:val="005E5A3D"/>
    <w:rsid w:val="005E5A86"/>
    <w:rsid w:val="005E6076"/>
    <w:rsid w:val="005E6A41"/>
    <w:rsid w:val="005E7777"/>
    <w:rsid w:val="005F00FE"/>
    <w:rsid w:val="005F2C40"/>
    <w:rsid w:val="005F444C"/>
    <w:rsid w:val="005F6480"/>
    <w:rsid w:val="005F747A"/>
    <w:rsid w:val="0060105A"/>
    <w:rsid w:val="00604607"/>
    <w:rsid w:val="006053F8"/>
    <w:rsid w:val="00607BFC"/>
    <w:rsid w:val="00611587"/>
    <w:rsid w:val="0061196F"/>
    <w:rsid w:val="006161F5"/>
    <w:rsid w:val="00616374"/>
    <w:rsid w:val="006166B3"/>
    <w:rsid w:val="00622A1C"/>
    <w:rsid w:val="00622FAB"/>
    <w:rsid w:val="006240BD"/>
    <w:rsid w:val="00624131"/>
    <w:rsid w:val="0062558C"/>
    <w:rsid w:val="00625775"/>
    <w:rsid w:val="00626B48"/>
    <w:rsid w:val="00631262"/>
    <w:rsid w:val="00632758"/>
    <w:rsid w:val="00632C62"/>
    <w:rsid w:val="00633680"/>
    <w:rsid w:val="00633B6F"/>
    <w:rsid w:val="00634136"/>
    <w:rsid w:val="006343AB"/>
    <w:rsid w:val="006368E0"/>
    <w:rsid w:val="00640157"/>
    <w:rsid w:val="0064171C"/>
    <w:rsid w:val="00650216"/>
    <w:rsid w:val="006517D7"/>
    <w:rsid w:val="0065285A"/>
    <w:rsid w:val="00652E08"/>
    <w:rsid w:val="00653D4E"/>
    <w:rsid w:val="00654FA3"/>
    <w:rsid w:val="006550AE"/>
    <w:rsid w:val="006562C3"/>
    <w:rsid w:val="006566D5"/>
    <w:rsid w:val="00657019"/>
    <w:rsid w:val="00660033"/>
    <w:rsid w:val="00660BFF"/>
    <w:rsid w:val="00664195"/>
    <w:rsid w:val="00664221"/>
    <w:rsid w:val="006661CB"/>
    <w:rsid w:val="006667B6"/>
    <w:rsid w:val="00666FC1"/>
    <w:rsid w:val="00667EAB"/>
    <w:rsid w:val="00670959"/>
    <w:rsid w:val="00671250"/>
    <w:rsid w:val="00675562"/>
    <w:rsid w:val="006755CA"/>
    <w:rsid w:val="00675F65"/>
    <w:rsid w:val="00676279"/>
    <w:rsid w:val="0068000B"/>
    <w:rsid w:val="0068157C"/>
    <w:rsid w:val="006821B7"/>
    <w:rsid w:val="006822B9"/>
    <w:rsid w:val="006831D0"/>
    <w:rsid w:val="0068352E"/>
    <w:rsid w:val="006847D7"/>
    <w:rsid w:val="0068578C"/>
    <w:rsid w:val="00686AC0"/>
    <w:rsid w:val="00687835"/>
    <w:rsid w:val="00687B84"/>
    <w:rsid w:val="00690964"/>
    <w:rsid w:val="006927DD"/>
    <w:rsid w:val="00693B3A"/>
    <w:rsid w:val="00694EDD"/>
    <w:rsid w:val="0069518B"/>
    <w:rsid w:val="00695EA9"/>
    <w:rsid w:val="006961E1"/>
    <w:rsid w:val="006971CD"/>
    <w:rsid w:val="006A1280"/>
    <w:rsid w:val="006A1B71"/>
    <w:rsid w:val="006A2736"/>
    <w:rsid w:val="006A36D7"/>
    <w:rsid w:val="006A437B"/>
    <w:rsid w:val="006A5427"/>
    <w:rsid w:val="006A704B"/>
    <w:rsid w:val="006A7A72"/>
    <w:rsid w:val="006B0561"/>
    <w:rsid w:val="006B0D0E"/>
    <w:rsid w:val="006B1DB5"/>
    <w:rsid w:val="006B300D"/>
    <w:rsid w:val="006B4215"/>
    <w:rsid w:val="006B4675"/>
    <w:rsid w:val="006B5112"/>
    <w:rsid w:val="006B592A"/>
    <w:rsid w:val="006B626C"/>
    <w:rsid w:val="006B74B9"/>
    <w:rsid w:val="006C07B3"/>
    <w:rsid w:val="006C133B"/>
    <w:rsid w:val="006C1E5A"/>
    <w:rsid w:val="006C23C7"/>
    <w:rsid w:val="006C2E3D"/>
    <w:rsid w:val="006C7321"/>
    <w:rsid w:val="006C7812"/>
    <w:rsid w:val="006C7E08"/>
    <w:rsid w:val="006C7E9C"/>
    <w:rsid w:val="006D22E9"/>
    <w:rsid w:val="006D232A"/>
    <w:rsid w:val="006D45C5"/>
    <w:rsid w:val="006D4965"/>
    <w:rsid w:val="006D63A1"/>
    <w:rsid w:val="006D67E7"/>
    <w:rsid w:val="006D78FA"/>
    <w:rsid w:val="006E0703"/>
    <w:rsid w:val="006E0E8A"/>
    <w:rsid w:val="006E1160"/>
    <w:rsid w:val="006E25B0"/>
    <w:rsid w:val="006E31E1"/>
    <w:rsid w:val="006E34BA"/>
    <w:rsid w:val="006E4813"/>
    <w:rsid w:val="006E5151"/>
    <w:rsid w:val="006E553C"/>
    <w:rsid w:val="006E6E74"/>
    <w:rsid w:val="006E7E71"/>
    <w:rsid w:val="006F04BA"/>
    <w:rsid w:val="006F2E76"/>
    <w:rsid w:val="00701F36"/>
    <w:rsid w:val="0070302F"/>
    <w:rsid w:val="00705235"/>
    <w:rsid w:val="00705298"/>
    <w:rsid w:val="00706A45"/>
    <w:rsid w:val="00710F2B"/>
    <w:rsid w:val="00714778"/>
    <w:rsid w:val="0071525E"/>
    <w:rsid w:val="00715991"/>
    <w:rsid w:val="00716154"/>
    <w:rsid w:val="00716C6F"/>
    <w:rsid w:val="00717755"/>
    <w:rsid w:val="0072149C"/>
    <w:rsid w:val="0072163D"/>
    <w:rsid w:val="00721825"/>
    <w:rsid w:val="00722FC6"/>
    <w:rsid w:val="00725DEF"/>
    <w:rsid w:val="00726509"/>
    <w:rsid w:val="00726B4F"/>
    <w:rsid w:val="00727011"/>
    <w:rsid w:val="00730525"/>
    <w:rsid w:val="0073187E"/>
    <w:rsid w:val="007333DC"/>
    <w:rsid w:val="007344D9"/>
    <w:rsid w:val="00735987"/>
    <w:rsid w:val="00742A17"/>
    <w:rsid w:val="00742BC1"/>
    <w:rsid w:val="00742EBE"/>
    <w:rsid w:val="0074349D"/>
    <w:rsid w:val="007439B2"/>
    <w:rsid w:val="00743D43"/>
    <w:rsid w:val="00743EFE"/>
    <w:rsid w:val="0074565A"/>
    <w:rsid w:val="007500C7"/>
    <w:rsid w:val="0075084B"/>
    <w:rsid w:val="007544EA"/>
    <w:rsid w:val="007572A6"/>
    <w:rsid w:val="007601A0"/>
    <w:rsid w:val="0076223E"/>
    <w:rsid w:val="0076239F"/>
    <w:rsid w:val="00763212"/>
    <w:rsid w:val="00765953"/>
    <w:rsid w:val="00766336"/>
    <w:rsid w:val="00767139"/>
    <w:rsid w:val="0076741D"/>
    <w:rsid w:val="00770E57"/>
    <w:rsid w:val="00771B41"/>
    <w:rsid w:val="007723AA"/>
    <w:rsid w:val="00772FFD"/>
    <w:rsid w:val="0078404E"/>
    <w:rsid w:val="00785FB4"/>
    <w:rsid w:val="00786FF0"/>
    <w:rsid w:val="00787E29"/>
    <w:rsid w:val="00791280"/>
    <w:rsid w:val="00797020"/>
    <w:rsid w:val="00797D0C"/>
    <w:rsid w:val="007A17B7"/>
    <w:rsid w:val="007A17BC"/>
    <w:rsid w:val="007A2EDA"/>
    <w:rsid w:val="007A31E3"/>
    <w:rsid w:val="007A4564"/>
    <w:rsid w:val="007A548F"/>
    <w:rsid w:val="007A60E4"/>
    <w:rsid w:val="007A6F42"/>
    <w:rsid w:val="007A75D5"/>
    <w:rsid w:val="007A7951"/>
    <w:rsid w:val="007A79DA"/>
    <w:rsid w:val="007B0789"/>
    <w:rsid w:val="007B0F89"/>
    <w:rsid w:val="007B1600"/>
    <w:rsid w:val="007B1CC5"/>
    <w:rsid w:val="007B2839"/>
    <w:rsid w:val="007B28CB"/>
    <w:rsid w:val="007B484F"/>
    <w:rsid w:val="007B61B4"/>
    <w:rsid w:val="007B6595"/>
    <w:rsid w:val="007B6D8C"/>
    <w:rsid w:val="007B7333"/>
    <w:rsid w:val="007B7436"/>
    <w:rsid w:val="007C1CAB"/>
    <w:rsid w:val="007C26B7"/>
    <w:rsid w:val="007C34DD"/>
    <w:rsid w:val="007C5053"/>
    <w:rsid w:val="007C523F"/>
    <w:rsid w:val="007C5F3A"/>
    <w:rsid w:val="007C733F"/>
    <w:rsid w:val="007C7A4A"/>
    <w:rsid w:val="007D0305"/>
    <w:rsid w:val="007D0A1C"/>
    <w:rsid w:val="007D1640"/>
    <w:rsid w:val="007D2419"/>
    <w:rsid w:val="007D29AA"/>
    <w:rsid w:val="007D37CF"/>
    <w:rsid w:val="007D638D"/>
    <w:rsid w:val="007D6C07"/>
    <w:rsid w:val="007D79B5"/>
    <w:rsid w:val="007E2BCA"/>
    <w:rsid w:val="007E35EE"/>
    <w:rsid w:val="007E380B"/>
    <w:rsid w:val="007E4B55"/>
    <w:rsid w:val="007E71AF"/>
    <w:rsid w:val="007F1A34"/>
    <w:rsid w:val="007F1FC7"/>
    <w:rsid w:val="007F3C8B"/>
    <w:rsid w:val="007F723B"/>
    <w:rsid w:val="007F7465"/>
    <w:rsid w:val="007F7A04"/>
    <w:rsid w:val="007F7CE1"/>
    <w:rsid w:val="0080052E"/>
    <w:rsid w:val="00801076"/>
    <w:rsid w:val="00801234"/>
    <w:rsid w:val="008013AD"/>
    <w:rsid w:val="00801C5B"/>
    <w:rsid w:val="00802C92"/>
    <w:rsid w:val="008068A5"/>
    <w:rsid w:val="0080781C"/>
    <w:rsid w:val="0081002F"/>
    <w:rsid w:val="00811433"/>
    <w:rsid w:val="00813040"/>
    <w:rsid w:val="008135E3"/>
    <w:rsid w:val="00813D4B"/>
    <w:rsid w:val="00814451"/>
    <w:rsid w:val="008225A8"/>
    <w:rsid w:val="00824549"/>
    <w:rsid w:val="00827B9A"/>
    <w:rsid w:val="0083077F"/>
    <w:rsid w:val="00831920"/>
    <w:rsid w:val="008338DC"/>
    <w:rsid w:val="00834297"/>
    <w:rsid w:val="00834616"/>
    <w:rsid w:val="008359D7"/>
    <w:rsid w:val="008365E5"/>
    <w:rsid w:val="00836E4F"/>
    <w:rsid w:val="00837087"/>
    <w:rsid w:val="008371D4"/>
    <w:rsid w:val="008403B3"/>
    <w:rsid w:val="00841056"/>
    <w:rsid w:val="00842184"/>
    <w:rsid w:val="008429AE"/>
    <w:rsid w:val="00842E71"/>
    <w:rsid w:val="00844E68"/>
    <w:rsid w:val="00844EE1"/>
    <w:rsid w:val="008458D7"/>
    <w:rsid w:val="00845AF4"/>
    <w:rsid w:val="008503CA"/>
    <w:rsid w:val="00851865"/>
    <w:rsid w:val="00852C9D"/>
    <w:rsid w:val="00854AAB"/>
    <w:rsid w:val="00855A3E"/>
    <w:rsid w:val="008573FA"/>
    <w:rsid w:val="00857D4B"/>
    <w:rsid w:val="008635FF"/>
    <w:rsid w:val="008646DD"/>
    <w:rsid w:val="00864DC0"/>
    <w:rsid w:val="00864FBD"/>
    <w:rsid w:val="008652CF"/>
    <w:rsid w:val="00866D18"/>
    <w:rsid w:val="00866D35"/>
    <w:rsid w:val="00867D30"/>
    <w:rsid w:val="00872122"/>
    <w:rsid w:val="00872666"/>
    <w:rsid w:val="00875158"/>
    <w:rsid w:val="0087576D"/>
    <w:rsid w:val="008759EE"/>
    <w:rsid w:val="00875AF6"/>
    <w:rsid w:val="008768BB"/>
    <w:rsid w:val="00876A17"/>
    <w:rsid w:val="00882F5D"/>
    <w:rsid w:val="00883161"/>
    <w:rsid w:val="00884A3A"/>
    <w:rsid w:val="00884AAF"/>
    <w:rsid w:val="00885F04"/>
    <w:rsid w:val="00886770"/>
    <w:rsid w:val="0088694B"/>
    <w:rsid w:val="00886F31"/>
    <w:rsid w:val="00890432"/>
    <w:rsid w:val="0089078A"/>
    <w:rsid w:val="00891DC4"/>
    <w:rsid w:val="00895B09"/>
    <w:rsid w:val="008A2A87"/>
    <w:rsid w:val="008A36FF"/>
    <w:rsid w:val="008A4DF6"/>
    <w:rsid w:val="008A5E9B"/>
    <w:rsid w:val="008A5ED5"/>
    <w:rsid w:val="008A6524"/>
    <w:rsid w:val="008B156C"/>
    <w:rsid w:val="008B2543"/>
    <w:rsid w:val="008B3424"/>
    <w:rsid w:val="008B4A48"/>
    <w:rsid w:val="008B7595"/>
    <w:rsid w:val="008B782D"/>
    <w:rsid w:val="008C2B9B"/>
    <w:rsid w:val="008C4AB0"/>
    <w:rsid w:val="008D00E8"/>
    <w:rsid w:val="008D0BC1"/>
    <w:rsid w:val="008D1025"/>
    <w:rsid w:val="008D375D"/>
    <w:rsid w:val="008D7019"/>
    <w:rsid w:val="008E1E73"/>
    <w:rsid w:val="008E2154"/>
    <w:rsid w:val="008E3C08"/>
    <w:rsid w:val="008E3F91"/>
    <w:rsid w:val="008E51E4"/>
    <w:rsid w:val="008E7026"/>
    <w:rsid w:val="008F0434"/>
    <w:rsid w:val="008F16CB"/>
    <w:rsid w:val="008F1DEE"/>
    <w:rsid w:val="008F524E"/>
    <w:rsid w:val="008F6560"/>
    <w:rsid w:val="008F6ACA"/>
    <w:rsid w:val="008F76CE"/>
    <w:rsid w:val="009012AF"/>
    <w:rsid w:val="00903B97"/>
    <w:rsid w:val="00904C88"/>
    <w:rsid w:val="00905252"/>
    <w:rsid w:val="00905BA5"/>
    <w:rsid w:val="0090726E"/>
    <w:rsid w:val="00907E91"/>
    <w:rsid w:val="00910347"/>
    <w:rsid w:val="00911590"/>
    <w:rsid w:val="009132A6"/>
    <w:rsid w:val="0091759A"/>
    <w:rsid w:val="00917F59"/>
    <w:rsid w:val="009213E1"/>
    <w:rsid w:val="0092164E"/>
    <w:rsid w:val="0092201F"/>
    <w:rsid w:val="00922D8A"/>
    <w:rsid w:val="00922FA5"/>
    <w:rsid w:val="009232A4"/>
    <w:rsid w:val="00924677"/>
    <w:rsid w:val="0092522B"/>
    <w:rsid w:val="00932BDF"/>
    <w:rsid w:val="00936BD6"/>
    <w:rsid w:val="00937A28"/>
    <w:rsid w:val="009413CA"/>
    <w:rsid w:val="00942389"/>
    <w:rsid w:val="00944237"/>
    <w:rsid w:val="00944DBF"/>
    <w:rsid w:val="00944FF1"/>
    <w:rsid w:val="0094664B"/>
    <w:rsid w:val="00946729"/>
    <w:rsid w:val="00950590"/>
    <w:rsid w:val="009511D5"/>
    <w:rsid w:val="009520B9"/>
    <w:rsid w:val="0095668C"/>
    <w:rsid w:val="0096147E"/>
    <w:rsid w:val="00961591"/>
    <w:rsid w:val="0096301E"/>
    <w:rsid w:val="009656C0"/>
    <w:rsid w:val="009664BF"/>
    <w:rsid w:val="00982182"/>
    <w:rsid w:val="00982215"/>
    <w:rsid w:val="00983F5F"/>
    <w:rsid w:val="00991D6C"/>
    <w:rsid w:val="00995E12"/>
    <w:rsid w:val="00997D5D"/>
    <w:rsid w:val="009A216B"/>
    <w:rsid w:val="009A298C"/>
    <w:rsid w:val="009A3020"/>
    <w:rsid w:val="009A3B37"/>
    <w:rsid w:val="009A4E75"/>
    <w:rsid w:val="009A509C"/>
    <w:rsid w:val="009A56E4"/>
    <w:rsid w:val="009A5B46"/>
    <w:rsid w:val="009A7FD5"/>
    <w:rsid w:val="009B05E0"/>
    <w:rsid w:val="009B0D97"/>
    <w:rsid w:val="009B2E5F"/>
    <w:rsid w:val="009B3057"/>
    <w:rsid w:val="009B5C11"/>
    <w:rsid w:val="009C1AFE"/>
    <w:rsid w:val="009C4B7B"/>
    <w:rsid w:val="009C4FBC"/>
    <w:rsid w:val="009C5298"/>
    <w:rsid w:val="009C6DE1"/>
    <w:rsid w:val="009C7A05"/>
    <w:rsid w:val="009D0F58"/>
    <w:rsid w:val="009D1725"/>
    <w:rsid w:val="009D1D9E"/>
    <w:rsid w:val="009D2AAF"/>
    <w:rsid w:val="009D3764"/>
    <w:rsid w:val="009D420C"/>
    <w:rsid w:val="009D480A"/>
    <w:rsid w:val="009D5D42"/>
    <w:rsid w:val="009D655F"/>
    <w:rsid w:val="009D6697"/>
    <w:rsid w:val="009E287D"/>
    <w:rsid w:val="009E5326"/>
    <w:rsid w:val="009E5D6B"/>
    <w:rsid w:val="009F1014"/>
    <w:rsid w:val="009F1015"/>
    <w:rsid w:val="009F20DA"/>
    <w:rsid w:val="009F3183"/>
    <w:rsid w:val="009F3D4D"/>
    <w:rsid w:val="009F4733"/>
    <w:rsid w:val="009F7D44"/>
    <w:rsid w:val="00A0102F"/>
    <w:rsid w:val="00A0257A"/>
    <w:rsid w:val="00A0383A"/>
    <w:rsid w:val="00A0659C"/>
    <w:rsid w:val="00A10C17"/>
    <w:rsid w:val="00A14B00"/>
    <w:rsid w:val="00A16B7B"/>
    <w:rsid w:val="00A21603"/>
    <w:rsid w:val="00A2265D"/>
    <w:rsid w:val="00A23953"/>
    <w:rsid w:val="00A25D99"/>
    <w:rsid w:val="00A278DA"/>
    <w:rsid w:val="00A27A3F"/>
    <w:rsid w:val="00A30754"/>
    <w:rsid w:val="00A31D4F"/>
    <w:rsid w:val="00A331AD"/>
    <w:rsid w:val="00A33CE5"/>
    <w:rsid w:val="00A361AF"/>
    <w:rsid w:val="00A37C1D"/>
    <w:rsid w:val="00A40635"/>
    <w:rsid w:val="00A40C14"/>
    <w:rsid w:val="00A42C45"/>
    <w:rsid w:val="00A459AE"/>
    <w:rsid w:val="00A47545"/>
    <w:rsid w:val="00A47813"/>
    <w:rsid w:val="00A4793D"/>
    <w:rsid w:val="00A47F0E"/>
    <w:rsid w:val="00A5172E"/>
    <w:rsid w:val="00A51BC0"/>
    <w:rsid w:val="00A526FF"/>
    <w:rsid w:val="00A555FB"/>
    <w:rsid w:val="00A559A3"/>
    <w:rsid w:val="00A5658D"/>
    <w:rsid w:val="00A569A2"/>
    <w:rsid w:val="00A571AE"/>
    <w:rsid w:val="00A57E7F"/>
    <w:rsid w:val="00A60110"/>
    <w:rsid w:val="00A6191E"/>
    <w:rsid w:val="00A6224B"/>
    <w:rsid w:val="00A62D24"/>
    <w:rsid w:val="00A63DBE"/>
    <w:rsid w:val="00A65F87"/>
    <w:rsid w:val="00A670D3"/>
    <w:rsid w:val="00A679AE"/>
    <w:rsid w:val="00A710D9"/>
    <w:rsid w:val="00A7143D"/>
    <w:rsid w:val="00A715A5"/>
    <w:rsid w:val="00A71A86"/>
    <w:rsid w:val="00A71D4A"/>
    <w:rsid w:val="00A72685"/>
    <w:rsid w:val="00A726E7"/>
    <w:rsid w:val="00A734EF"/>
    <w:rsid w:val="00A74FD4"/>
    <w:rsid w:val="00A76799"/>
    <w:rsid w:val="00A76D57"/>
    <w:rsid w:val="00A77C45"/>
    <w:rsid w:val="00A8086A"/>
    <w:rsid w:val="00A812F7"/>
    <w:rsid w:val="00A82447"/>
    <w:rsid w:val="00A83695"/>
    <w:rsid w:val="00A83900"/>
    <w:rsid w:val="00A83BEC"/>
    <w:rsid w:val="00A84D72"/>
    <w:rsid w:val="00A86496"/>
    <w:rsid w:val="00A86B76"/>
    <w:rsid w:val="00A905B7"/>
    <w:rsid w:val="00A9095A"/>
    <w:rsid w:val="00A92431"/>
    <w:rsid w:val="00A956D6"/>
    <w:rsid w:val="00A9667E"/>
    <w:rsid w:val="00A9793F"/>
    <w:rsid w:val="00AA0659"/>
    <w:rsid w:val="00AA0905"/>
    <w:rsid w:val="00AA0F44"/>
    <w:rsid w:val="00AA2A9E"/>
    <w:rsid w:val="00AA6F97"/>
    <w:rsid w:val="00AB07F5"/>
    <w:rsid w:val="00AB09C1"/>
    <w:rsid w:val="00AB15D5"/>
    <w:rsid w:val="00AB30D7"/>
    <w:rsid w:val="00AB3B07"/>
    <w:rsid w:val="00AB3FEB"/>
    <w:rsid w:val="00AB48DD"/>
    <w:rsid w:val="00AB566C"/>
    <w:rsid w:val="00AB657E"/>
    <w:rsid w:val="00AB73A1"/>
    <w:rsid w:val="00AC1534"/>
    <w:rsid w:val="00AC585F"/>
    <w:rsid w:val="00AC7B36"/>
    <w:rsid w:val="00AD0F34"/>
    <w:rsid w:val="00AD2506"/>
    <w:rsid w:val="00AD461E"/>
    <w:rsid w:val="00AD5EAE"/>
    <w:rsid w:val="00AD6D32"/>
    <w:rsid w:val="00AE3B59"/>
    <w:rsid w:val="00AE3CF0"/>
    <w:rsid w:val="00AE442E"/>
    <w:rsid w:val="00AE721E"/>
    <w:rsid w:val="00AE7DE8"/>
    <w:rsid w:val="00AF0983"/>
    <w:rsid w:val="00AF1F99"/>
    <w:rsid w:val="00AF34A9"/>
    <w:rsid w:val="00AF37AF"/>
    <w:rsid w:val="00AF7857"/>
    <w:rsid w:val="00B01497"/>
    <w:rsid w:val="00B018B1"/>
    <w:rsid w:val="00B01CFD"/>
    <w:rsid w:val="00B0218B"/>
    <w:rsid w:val="00B02718"/>
    <w:rsid w:val="00B03890"/>
    <w:rsid w:val="00B039CF"/>
    <w:rsid w:val="00B04C27"/>
    <w:rsid w:val="00B0720C"/>
    <w:rsid w:val="00B079EB"/>
    <w:rsid w:val="00B109A8"/>
    <w:rsid w:val="00B10CD2"/>
    <w:rsid w:val="00B15CAB"/>
    <w:rsid w:val="00B17371"/>
    <w:rsid w:val="00B2084A"/>
    <w:rsid w:val="00B20D39"/>
    <w:rsid w:val="00B23DAA"/>
    <w:rsid w:val="00B2512B"/>
    <w:rsid w:val="00B25F9D"/>
    <w:rsid w:val="00B260BF"/>
    <w:rsid w:val="00B264BA"/>
    <w:rsid w:val="00B2700A"/>
    <w:rsid w:val="00B279B0"/>
    <w:rsid w:val="00B27C87"/>
    <w:rsid w:val="00B3104D"/>
    <w:rsid w:val="00B32DF4"/>
    <w:rsid w:val="00B34948"/>
    <w:rsid w:val="00B36097"/>
    <w:rsid w:val="00B36ACC"/>
    <w:rsid w:val="00B36FDF"/>
    <w:rsid w:val="00B4016F"/>
    <w:rsid w:val="00B4206B"/>
    <w:rsid w:val="00B428D1"/>
    <w:rsid w:val="00B42990"/>
    <w:rsid w:val="00B43844"/>
    <w:rsid w:val="00B43DF5"/>
    <w:rsid w:val="00B45851"/>
    <w:rsid w:val="00B501E5"/>
    <w:rsid w:val="00B5062C"/>
    <w:rsid w:val="00B50773"/>
    <w:rsid w:val="00B52904"/>
    <w:rsid w:val="00B53709"/>
    <w:rsid w:val="00B54017"/>
    <w:rsid w:val="00B55027"/>
    <w:rsid w:val="00B55D65"/>
    <w:rsid w:val="00B57469"/>
    <w:rsid w:val="00B61F2A"/>
    <w:rsid w:val="00B62990"/>
    <w:rsid w:val="00B63F83"/>
    <w:rsid w:val="00B64C5E"/>
    <w:rsid w:val="00B65015"/>
    <w:rsid w:val="00B6529A"/>
    <w:rsid w:val="00B707CF"/>
    <w:rsid w:val="00B70F85"/>
    <w:rsid w:val="00B71020"/>
    <w:rsid w:val="00B72E52"/>
    <w:rsid w:val="00B72F03"/>
    <w:rsid w:val="00B7598A"/>
    <w:rsid w:val="00B77DE7"/>
    <w:rsid w:val="00B826CD"/>
    <w:rsid w:val="00B83B68"/>
    <w:rsid w:val="00B83E33"/>
    <w:rsid w:val="00B90D86"/>
    <w:rsid w:val="00B9260A"/>
    <w:rsid w:val="00B93220"/>
    <w:rsid w:val="00B944D9"/>
    <w:rsid w:val="00B9455B"/>
    <w:rsid w:val="00B9616A"/>
    <w:rsid w:val="00B9688A"/>
    <w:rsid w:val="00B96C0D"/>
    <w:rsid w:val="00BA0DBF"/>
    <w:rsid w:val="00BA1513"/>
    <w:rsid w:val="00BA28C1"/>
    <w:rsid w:val="00BA2A70"/>
    <w:rsid w:val="00BA2D49"/>
    <w:rsid w:val="00BA2F10"/>
    <w:rsid w:val="00BA40B0"/>
    <w:rsid w:val="00BA49AC"/>
    <w:rsid w:val="00BA5499"/>
    <w:rsid w:val="00BA5945"/>
    <w:rsid w:val="00BA6236"/>
    <w:rsid w:val="00BA68F3"/>
    <w:rsid w:val="00BA7F56"/>
    <w:rsid w:val="00BB4851"/>
    <w:rsid w:val="00BB4C7F"/>
    <w:rsid w:val="00BB6773"/>
    <w:rsid w:val="00BB6857"/>
    <w:rsid w:val="00BC18D3"/>
    <w:rsid w:val="00BC2BF8"/>
    <w:rsid w:val="00BC33E7"/>
    <w:rsid w:val="00BC35CB"/>
    <w:rsid w:val="00BC519E"/>
    <w:rsid w:val="00BC5310"/>
    <w:rsid w:val="00BC7081"/>
    <w:rsid w:val="00BD0904"/>
    <w:rsid w:val="00BD16CC"/>
    <w:rsid w:val="00BD1D4F"/>
    <w:rsid w:val="00BD47F6"/>
    <w:rsid w:val="00BD4CF3"/>
    <w:rsid w:val="00BD4F3E"/>
    <w:rsid w:val="00BD50A8"/>
    <w:rsid w:val="00BD5531"/>
    <w:rsid w:val="00BD6191"/>
    <w:rsid w:val="00BD7459"/>
    <w:rsid w:val="00BE0ABD"/>
    <w:rsid w:val="00BE2D8D"/>
    <w:rsid w:val="00BE31F3"/>
    <w:rsid w:val="00BE3941"/>
    <w:rsid w:val="00BE45AB"/>
    <w:rsid w:val="00BE51CC"/>
    <w:rsid w:val="00BE57D6"/>
    <w:rsid w:val="00BE7AFF"/>
    <w:rsid w:val="00BF0ECD"/>
    <w:rsid w:val="00BF1199"/>
    <w:rsid w:val="00BF1B39"/>
    <w:rsid w:val="00BF4A50"/>
    <w:rsid w:val="00BF5DEA"/>
    <w:rsid w:val="00BF772B"/>
    <w:rsid w:val="00BF786C"/>
    <w:rsid w:val="00C0140E"/>
    <w:rsid w:val="00C01C90"/>
    <w:rsid w:val="00C029C8"/>
    <w:rsid w:val="00C03482"/>
    <w:rsid w:val="00C03852"/>
    <w:rsid w:val="00C0746C"/>
    <w:rsid w:val="00C117E8"/>
    <w:rsid w:val="00C13E18"/>
    <w:rsid w:val="00C1408E"/>
    <w:rsid w:val="00C15A35"/>
    <w:rsid w:val="00C16263"/>
    <w:rsid w:val="00C16911"/>
    <w:rsid w:val="00C17552"/>
    <w:rsid w:val="00C1762C"/>
    <w:rsid w:val="00C17AE0"/>
    <w:rsid w:val="00C17F38"/>
    <w:rsid w:val="00C20A78"/>
    <w:rsid w:val="00C210EC"/>
    <w:rsid w:val="00C23515"/>
    <w:rsid w:val="00C27323"/>
    <w:rsid w:val="00C27C74"/>
    <w:rsid w:val="00C27F4F"/>
    <w:rsid w:val="00C33F74"/>
    <w:rsid w:val="00C33FAE"/>
    <w:rsid w:val="00C341E0"/>
    <w:rsid w:val="00C365C4"/>
    <w:rsid w:val="00C366B2"/>
    <w:rsid w:val="00C36B7F"/>
    <w:rsid w:val="00C37E36"/>
    <w:rsid w:val="00C411AD"/>
    <w:rsid w:val="00C41E7D"/>
    <w:rsid w:val="00C46760"/>
    <w:rsid w:val="00C46E1A"/>
    <w:rsid w:val="00C50B44"/>
    <w:rsid w:val="00C51F15"/>
    <w:rsid w:val="00C54BF3"/>
    <w:rsid w:val="00C61475"/>
    <w:rsid w:val="00C6323B"/>
    <w:rsid w:val="00C6343F"/>
    <w:rsid w:val="00C63AAD"/>
    <w:rsid w:val="00C63ADB"/>
    <w:rsid w:val="00C65952"/>
    <w:rsid w:val="00C66EA9"/>
    <w:rsid w:val="00C671D5"/>
    <w:rsid w:val="00C7159F"/>
    <w:rsid w:val="00C72B25"/>
    <w:rsid w:val="00C73770"/>
    <w:rsid w:val="00C74635"/>
    <w:rsid w:val="00C74FE5"/>
    <w:rsid w:val="00C75B01"/>
    <w:rsid w:val="00C807D5"/>
    <w:rsid w:val="00C80B46"/>
    <w:rsid w:val="00C81D60"/>
    <w:rsid w:val="00C83D3A"/>
    <w:rsid w:val="00C86003"/>
    <w:rsid w:val="00C864B6"/>
    <w:rsid w:val="00C93403"/>
    <w:rsid w:val="00C9340F"/>
    <w:rsid w:val="00C93BD0"/>
    <w:rsid w:val="00C9697B"/>
    <w:rsid w:val="00C96C59"/>
    <w:rsid w:val="00C97AB5"/>
    <w:rsid w:val="00CA4AE2"/>
    <w:rsid w:val="00CA70AA"/>
    <w:rsid w:val="00CB12B9"/>
    <w:rsid w:val="00CB34E2"/>
    <w:rsid w:val="00CB3AB9"/>
    <w:rsid w:val="00CB4EC2"/>
    <w:rsid w:val="00CB4FE5"/>
    <w:rsid w:val="00CB5FB1"/>
    <w:rsid w:val="00CC015E"/>
    <w:rsid w:val="00CC01D7"/>
    <w:rsid w:val="00CC3215"/>
    <w:rsid w:val="00CC3A35"/>
    <w:rsid w:val="00CC4DA1"/>
    <w:rsid w:val="00CD024E"/>
    <w:rsid w:val="00CD1E4A"/>
    <w:rsid w:val="00CD29B3"/>
    <w:rsid w:val="00CD32CC"/>
    <w:rsid w:val="00CD3F98"/>
    <w:rsid w:val="00CD41EF"/>
    <w:rsid w:val="00CD4DE3"/>
    <w:rsid w:val="00CD795C"/>
    <w:rsid w:val="00CE0690"/>
    <w:rsid w:val="00CE1CC6"/>
    <w:rsid w:val="00CE29CF"/>
    <w:rsid w:val="00CE48C4"/>
    <w:rsid w:val="00CE6113"/>
    <w:rsid w:val="00CE6565"/>
    <w:rsid w:val="00CF24B7"/>
    <w:rsid w:val="00CF2789"/>
    <w:rsid w:val="00CF44B4"/>
    <w:rsid w:val="00CF4874"/>
    <w:rsid w:val="00CF4AED"/>
    <w:rsid w:val="00CF4C3E"/>
    <w:rsid w:val="00CF57F5"/>
    <w:rsid w:val="00CF633B"/>
    <w:rsid w:val="00CF731D"/>
    <w:rsid w:val="00D0031E"/>
    <w:rsid w:val="00D00881"/>
    <w:rsid w:val="00D01B6A"/>
    <w:rsid w:val="00D06119"/>
    <w:rsid w:val="00D074E3"/>
    <w:rsid w:val="00D10549"/>
    <w:rsid w:val="00D14195"/>
    <w:rsid w:val="00D16E1B"/>
    <w:rsid w:val="00D17CAE"/>
    <w:rsid w:val="00D22DBD"/>
    <w:rsid w:val="00D23419"/>
    <w:rsid w:val="00D23C00"/>
    <w:rsid w:val="00D25546"/>
    <w:rsid w:val="00D26521"/>
    <w:rsid w:val="00D26E14"/>
    <w:rsid w:val="00D27204"/>
    <w:rsid w:val="00D275A5"/>
    <w:rsid w:val="00D33754"/>
    <w:rsid w:val="00D33756"/>
    <w:rsid w:val="00D34EDB"/>
    <w:rsid w:val="00D35B8E"/>
    <w:rsid w:val="00D37A3A"/>
    <w:rsid w:val="00D405EC"/>
    <w:rsid w:val="00D41931"/>
    <w:rsid w:val="00D42096"/>
    <w:rsid w:val="00D420C3"/>
    <w:rsid w:val="00D437B5"/>
    <w:rsid w:val="00D463BA"/>
    <w:rsid w:val="00D46448"/>
    <w:rsid w:val="00D4771E"/>
    <w:rsid w:val="00D4794A"/>
    <w:rsid w:val="00D47AAA"/>
    <w:rsid w:val="00D50749"/>
    <w:rsid w:val="00D52818"/>
    <w:rsid w:val="00D52B8F"/>
    <w:rsid w:val="00D5435B"/>
    <w:rsid w:val="00D56480"/>
    <w:rsid w:val="00D61169"/>
    <w:rsid w:val="00D61460"/>
    <w:rsid w:val="00D61464"/>
    <w:rsid w:val="00D61CDA"/>
    <w:rsid w:val="00D63A41"/>
    <w:rsid w:val="00D6519F"/>
    <w:rsid w:val="00D65EB9"/>
    <w:rsid w:val="00D66304"/>
    <w:rsid w:val="00D665A3"/>
    <w:rsid w:val="00D67361"/>
    <w:rsid w:val="00D67D6F"/>
    <w:rsid w:val="00D70974"/>
    <w:rsid w:val="00D72CCD"/>
    <w:rsid w:val="00D73C2F"/>
    <w:rsid w:val="00D759B7"/>
    <w:rsid w:val="00D7763A"/>
    <w:rsid w:val="00D802DB"/>
    <w:rsid w:val="00D81303"/>
    <w:rsid w:val="00D82212"/>
    <w:rsid w:val="00D833DB"/>
    <w:rsid w:val="00D839F7"/>
    <w:rsid w:val="00D83BC3"/>
    <w:rsid w:val="00D8693A"/>
    <w:rsid w:val="00D86C88"/>
    <w:rsid w:val="00D86FBD"/>
    <w:rsid w:val="00D90B55"/>
    <w:rsid w:val="00D92577"/>
    <w:rsid w:val="00D92E07"/>
    <w:rsid w:val="00D96ABB"/>
    <w:rsid w:val="00D971CC"/>
    <w:rsid w:val="00D971F8"/>
    <w:rsid w:val="00DA038E"/>
    <w:rsid w:val="00DA043F"/>
    <w:rsid w:val="00DA1B95"/>
    <w:rsid w:val="00DA2667"/>
    <w:rsid w:val="00DA2948"/>
    <w:rsid w:val="00DA42DB"/>
    <w:rsid w:val="00DA435B"/>
    <w:rsid w:val="00DA5BAB"/>
    <w:rsid w:val="00DA6020"/>
    <w:rsid w:val="00DA6420"/>
    <w:rsid w:val="00DB23A1"/>
    <w:rsid w:val="00DB261C"/>
    <w:rsid w:val="00DB4314"/>
    <w:rsid w:val="00DB7257"/>
    <w:rsid w:val="00DC1150"/>
    <w:rsid w:val="00DC2752"/>
    <w:rsid w:val="00DC2AFA"/>
    <w:rsid w:val="00DC3353"/>
    <w:rsid w:val="00DC3613"/>
    <w:rsid w:val="00DC3DCE"/>
    <w:rsid w:val="00DC64AB"/>
    <w:rsid w:val="00DC6622"/>
    <w:rsid w:val="00DC7396"/>
    <w:rsid w:val="00DD1F46"/>
    <w:rsid w:val="00DD3F8F"/>
    <w:rsid w:val="00DD51D5"/>
    <w:rsid w:val="00DD5EA2"/>
    <w:rsid w:val="00DD7198"/>
    <w:rsid w:val="00DE0AAE"/>
    <w:rsid w:val="00DE0ACE"/>
    <w:rsid w:val="00DE0FE5"/>
    <w:rsid w:val="00DE3E6D"/>
    <w:rsid w:val="00DE6A96"/>
    <w:rsid w:val="00DE78D6"/>
    <w:rsid w:val="00DF1609"/>
    <w:rsid w:val="00DF7122"/>
    <w:rsid w:val="00DF76CA"/>
    <w:rsid w:val="00E00EEE"/>
    <w:rsid w:val="00E03168"/>
    <w:rsid w:val="00E031B2"/>
    <w:rsid w:val="00E0457E"/>
    <w:rsid w:val="00E063CD"/>
    <w:rsid w:val="00E074D9"/>
    <w:rsid w:val="00E07514"/>
    <w:rsid w:val="00E101EF"/>
    <w:rsid w:val="00E107E1"/>
    <w:rsid w:val="00E10F7F"/>
    <w:rsid w:val="00E132B7"/>
    <w:rsid w:val="00E136A7"/>
    <w:rsid w:val="00E13AF1"/>
    <w:rsid w:val="00E13E14"/>
    <w:rsid w:val="00E17078"/>
    <w:rsid w:val="00E20704"/>
    <w:rsid w:val="00E23316"/>
    <w:rsid w:val="00E234B3"/>
    <w:rsid w:val="00E30DFF"/>
    <w:rsid w:val="00E32D1B"/>
    <w:rsid w:val="00E33370"/>
    <w:rsid w:val="00E33E51"/>
    <w:rsid w:val="00E34AEA"/>
    <w:rsid w:val="00E35C34"/>
    <w:rsid w:val="00E40DC9"/>
    <w:rsid w:val="00E41F67"/>
    <w:rsid w:val="00E42845"/>
    <w:rsid w:val="00E44CA1"/>
    <w:rsid w:val="00E500D5"/>
    <w:rsid w:val="00E503F3"/>
    <w:rsid w:val="00E51DC4"/>
    <w:rsid w:val="00E5410B"/>
    <w:rsid w:val="00E55CED"/>
    <w:rsid w:val="00E56A3E"/>
    <w:rsid w:val="00E56BC7"/>
    <w:rsid w:val="00E56C46"/>
    <w:rsid w:val="00E6085C"/>
    <w:rsid w:val="00E60B97"/>
    <w:rsid w:val="00E62183"/>
    <w:rsid w:val="00E62499"/>
    <w:rsid w:val="00E65C3D"/>
    <w:rsid w:val="00E70232"/>
    <w:rsid w:val="00E71ADF"/>
    <w:rsid w:val="00E72033"/>
    <w:rsid w:val="00E72147"/>
    <w:rsid w:val="00E724F5"/>
    <w:rsid w:val="00E72589"/>
    <w:rsid w:val="00E7287E"/>
    <w:rsid w:val="00E7443B"/>
    <w:rsid w:val="00E77F8D"/>
    <w:rsid w:val="00E810E8"/>
    <w:rsid w:val="00E81138"/>
    <w:rsid w:val="00E821DB"/>
    <w:rsid w:val="00E82454"/>
    <w:rsid w:val="00E839A2"/>
    <w:rsid w:val="00E83ED2"/>
    <w:rsid w:val="00E8585F"/>
    <w:rsid w:val="00E85ED7"/>
    <w:rsid w:val="00E879F9"/>
    <w:rsid w:val="00E903FB"/>
    <w:rsid w:val="00E911D3"/>
    <w:rsid w:val="00E9151B"/>
    <w:rsid w:val="00E94F21"/>
    <w:rsid w:val="00E956F9"/>
    <w:rsid w:val="00E96832"/>
    <w:rsid w:val="00EA03D3"/>
    <w:rsid w:val="00EA54C9"/>
    <w:rsid w:val="00EA6D33"/>
    <w:rsid w:val="00EA73BB"/>
    <w:rsid w:val="00EB0885"/>
    <w:rsid w:val="00EB0B13"/>
    <w:rsid w:val="00EB1DAC"/>
    <w:rsid w:val="00EB331B"/>
    <w:rsid w:val="00EB4D60"/>
    <w:rsid w:val="00EB7554"/>
    <w:rsid w:val="00EC005D"/>
    <w:rsid w:val="00EC45AF"/>
    <w:rsid w:val="00EC4681"/>
    <w:rsid w:val="00EC63AF"/>
    <w:rsid w:val="00EC66D1"/>
    <w:rsid w:val="00EC6FEC"/>
    <w:rsid w:val="00EC7AD5"/>
    <w:rsid w:val="00ED30A5"/>
    <w:rsid w:val="00ED38FD"/>
    <w:rsid w:val="00ED5714"/>
    <w:rsid w:val="00ED6048"/>
    <w:rsid w:val="00EE1BCC"/>
    <w:rsid w:val="00EE3E33"/>
    <w:rsid w:val="00EF2A86"/>
    <w:rsid w:val="00EF3F81"/>
    <w:rsid w:val="00EF45DF"/>
    <w:rsid w:val="00EF57A2"/>
    <w:rsid w:val="00EF5DAA"/>
    <w:rsid w:val="00F045BC"/>
    <w:rsid w:val="00F05F2A"/>
    <w:rsid w:val="00F05FB9"/>
    <w:rsid w:val="00F11811"/>
    <w:rsid w:val="00F1282B"/>
    <w:rsid w:val="00F1604B"/>
    <w:rsid w:val="00F16D72"/>
    <w:rsid w:val="00F21755"/>
    <w:rsid w:val="00F2297E"/>
    <w:rsid w:val="00F22AA9"/>
    <w:rsid w:val="00F23297"/>
    <w:rsid w:val="00F25A13"/>
    <w:rsid w:val="00F25A68"/>
    <w:rsid w:val="00F25BD0"/>
    <w:rsid w:val="00F271EE"/>
    <w:rsid w:val="00F31DC9"/>
    <w:rsid w:val="00F32C6E"/>
    <w:rsid w:val="00F3460D"/>
    <w:rsid w:val="00F35688"/>
    <w:rsid w:val="00F36B0A"/>
    <w:rsid w:val="00F401F0"/>
    <w:rsid w:val="00F43202"/>
    <w:rsid w:val="00F440F0"/>
    <w:rsid w:val="00F460AF"/>
    <w:rsid w:val="00F46B84"/>
    <w:rsid w:val="00F477D9"/>
    <w:rsid w:val="00F51288"/>
    <w:rsid w:val="00F52EE5"/>
    <w:rsid w:val="00F53525"/>
    <w:rsid w:val="00F53C86"/>
    <w:rsid w:val="00F55A5C"/>
    <w:rsid w:val="00F61842"/>
    <w:rsid w:val="00F62644"/>
    <w:rsid w:val="00F6298C"/>
    <w:rsid w:val="00F63EB3"/>
    <w:rsid w:val="00F665CF"/>
    <w:rsid w:val="00F72687"/>
    <w:rsid w:val="00F72E94"/>
    <w:rsid w:val="00F733FE"/>
    <w:rsid w:val="00F73931"/>
    <w:rsid w:val="00F75926"/>
    <w:rsid w:val="00F76900"/>
    <w:rsid w:val="00F7695C"/>
    <w:rsid w:val="00F803BB"/>
    <w:rsid w:val="00F80E10"/>
    <w:rsid w:val="00F814B4"/>
    <w:rsid w:val="00F81D00"/>
    <w:rsid w:val="00F82C1D"/>
    <w:rsid w:val="00F901F0"/>
    <w:rsid w:val="00F904FD"/>
    <w:rsid w:val="00F92A0A"/>
    <w:rsid w:val="00F93510"/>
    <w:rsid w:val="00F935AB"/>
    <w:rsid w:val="00F944A8"/>
    <w:rsid w:val="00FA347E"/>
    <w:rsid w:val="00FA3AF9"/>
    <w:rsid w:val="00FA4285"/>
    <w:rsid w:val="00FA485A"/>
    <w:rsid w:val="00FA5821"/>
    <w:rsid w:val="00FA6333"/>
    <w:rsid w:val="00FA7756"/>
    <w:rsid w:val="00FA7CD9"/>
    <w:rsid w:val="00FB3CBC"/>
    <w:rsid w:val="00FB42B2"/>
    <w:rsid w:val="00FB661B"/>
    <w:rsid w:val="00FC1ADF"/>
    <w:rsid w:val="00FC25F3"/>
    <w:rsid w:val="00FC321B"/>
    <w:rsid w:val="00FC491F"/>
    <w:rsid w:val="00FC685C"/>
    <w:rsid w:val="00FC7354"/>
    <w:rsid w:val="00FD2073"/>
    <w:rsid w:val="00FD209F"/>
    <w:rsid w:val="00FD24CE"/>
    <w:rsid w:val="00FD2E45"/>
    <w:rsid w:val="00FD2E8B"/>
    <w:rsid w:val="00FD3554"/>
    <w:rsid w:val="00FD5283"/>
    <w:rsid w:val="00FD61E0"/>
    <w:rsid w:val="00FE00E7"/>
    <w:rsid w:val="00FE0638"/>
    <w:rsid w:val="00FE138C"/>
    <w:rsid w:val="00FE14A4"/>
    <w:rsid w:val="00FE319C"/>
    <w:rsid w:val="00FE423B"/>
    <w:rsid w:val="00FE4CEB"/>
    <w:rsid w:val="00FE5B5D"/>
    <w:rsid w:val="00FE65A8"/>
    <w:rsid w:val="00FE6905"/>
    <w:rsid w:val="00FF0ABB"/>
    <w:rsid w:val="00FF0FE0"/>
    <w:rsid w:val="00FF3553"/>
    <w:rsid w:val="00FF38E5"/>
    <w:rsid w:val="00FF459E"/>
    <w:rsid w:val="00FF5E27"/>
    <w:rsid w:val="00FF70D5"/>
    <w:rsid w:val="56334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semiHidden="0" w:name="toc 5"/>
    <w:lsdException w:uiPriority="39" w:name="toc 6"/>
    <w:lsdException w:qFormat="1" w:unhideWhenUsed="0" w:uiPriority="99" w:semiHidden="0"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31"/>
    <w:qFormat/>
    <w:uiPriority w:val="9"/>
    <w:pPr>
      <w:keepNext/>
      <w:widowControl/>
      <w:ind w:firstLine="0" w:firstLineChars="0"/>
      <w:jc w:val="left"/>
      <w:outlineLvl w:val="0"/>
    </w:pPr>
    <w:rPr>
      <w:rFonts w:cs="宋体" w:asciiTheme="majorHAnsi" w:hAnsiTheme="majorHAnsi"/>
      <w:b/>
      <w:bCs/>
      <w:kern w:val="32"/>
      <w:szCs w:val="32"/>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7"/>
    <w:qFormat/>
    <w:uiPriority w:val="0"/>
    <w:pPr>
      <w:spacing w:before="100" w:beforeAutospacing="1" w:after="100" w:afterAutospacing="1" w:line="240" w:lineRule="auto"/>
      <w:ind w:firstLine="0" w:firstLineChars="0"/>
      <w:jc w:val="left"/>
      <w:outlineLvl w:val="4"/>
    </w:pPr>
    <w:rPr>
      <w:rFonts w:hint="eastAsia" w:ascii="宋体" w:hAnsi="宋体" w:eastAsia="宋体" w:cs="Times New Roman"/>
      <w:b/>
      <w:bCs/>
      <w:kern w:val="0"/>
      <w:sz w:val="20"/>
      <w:szCs w:val="20"/>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99"/>
    <w:pPr>
      <w:spacing w:line="240" w:lineRule="auto"/>
      <w:ind w:left="1260" w:firstLine="0" w:firstLineChars="0"/>
      <w:jc w:val="left"/>
    </w:pPr>
    <w:rPr>
      <w:rFonts w:ascii="Calibri" w:hAnsi="Calibri" w:eastAsia="宋体" w:cs="Times New Roman"/>
      <w:sz w:val="18"/>
      <w:szCs w:val="18"/>
    </w:rPr>
  </w:style>
  <w:style w:type="paragraph" w:styleId="8">
    <w:name w:val="Body Text"/>
    <w:basedOn w:val="1"/>
    <w:next w:val="9"/>
    <w:link w:val="38"/>
    <w:qFormat/>
    <w:uiPriority w:val="0"/>
    <w:pPr>
      <w:spacing w:after="120" w:line="240" w:lineRule="auto"/>
    </w:pPr>
    <w:rPr>
      <w:rFonts w:ascii="Calibri" w:hAnsi="Calibri" w:eastAsia="宋体" w:cs="Times New Roman"/>
      <w:sz w:val="21"/>
      <w:szCs w:val="24"/>
    </w:rPr>
  </w:style>
  <w:style w:type="paragraph" w:styleId="9">
    <w:name w:val="toc 5"/>
    <w:basedOn w:val="1"/>
    <w:next w:val="1"/>
    <w:autoRedefine/>
    <w:unhideWhenUsed/>
    <w:qFormat/>
    <w:uiPriority w:val="39"/>
    <w:pPr>
      <w:ind w:firstLine="482"/>
    </w:pPr>
    <w:rPr>
      <w:b/>
      <w:bCs/>
      <w:color w:val="4472C4" w:themeColor="accent1"/>
      <w14:textFill>
        <w14:solidFill>
          <w14:schemeClr w14:val="accent1"/>
        </w14:solidFill>
      </w14:textFill>
    </w:rPr>
  </w:style>
  <w:style w:type="paragraph" w:styleId="10">
    <w:name w:val="Body Text Indent"/>
    <w:basedOn w:val="1"/>
    <w:next w:val="11"/>
    <w:link w:val="58"/>
    <w:qFormat/>
    <w:uiPriority w:val="99"/>
    <w:pPr>
      <w:spacing w:line="240" w:lineRule="auto"/>
      <w:ind w:left="420" w:leftChars="200" w:firstLine="0" w:firstLineChars="0"/>
    </w:pPr>
    <w:rPr>
      <w:rFonts w:ascii="Calibri" w:hAnsi="Calibri" w:eastAsia="宋体" w:cs="Times New Roman"/>
      <w:sz w:val="21"/>
      <w:szCs w:val="24"/>
    </w:rPr>
  </w:style>
  <w:style w:type="paragraph" w:styleId="11">
    <w:name w:val="envelope return"/>
    <w:basedOn w:val="1"/>
    <w:next w:val="7"/>
    <w:qFormat/>
    <w:uiPriority w:val="99"/>
    <w:pPr>
      <w:snapToGrid w:val="0"/>
      <w:spacing w:line="240" w:lineRule="auto"/>
      <w:ind w:firstLine="0" w:firstLineChars="0"/>
    </w:pPr>
    <w:rPr>
      <w:rFonts w:ascii="Arial" w:hAnsi="Arial" w:eastAsia="宋体" w:cs="Times New Roman"/>
      <w:sz w:val="21"/>
      <w:szCs w:val="24"/>
    </w:rPr>
  </w:style>
  <w:style w:type="paragraph" w:styleId="12">
    <w:name w:val="toc 3"/>
    <w:basedOn w:val="1"/>
    <w:next w:val="1"/>
    <w:autoRedefine/>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13">
    <w:name w:val="Date"/>
    <w:basedOn w:val="1"/>
    <w:next w:val="1"/>
    <w:link w:val="45"/>
    <w:semiHidden/>
    <w:unhideWhenUsed/>
    <w:qFormat/>
    <w:uiPriority w:val="99"/>
    <w:pPr>
      <w:ind w:left="100" w:leftChars="2500"/>
    </w:pPr>
  </w:style>
  <w:style w:type="paragraph" w:styleId="14">
    <w:name w:val="Body Text Indent 2"/>
    <w:basedOn w:val="1"/>
    <w:link w:val="53"/>
    <w:unhideWhenUsed/>
    <w:qFormat/>
    <w:uiPriority w:val="99"/>
    <w:pPr>
      <w:spacing w:after="120" w:line="480" w:lineRule="auto"/>
      <w:ind w:left="420" w:leftChars="200"/>
    </w:pPr>
  </w:style>
  <w:style w:type="paragraph" w:styleId="15">
    <w:name w:val="footer"/>
    <w:basedOn w:val="1"/>
    <w:link w:val="35"/>
    <w:unhideWhenUsed/>
    <w:qFormat/>
    <w:uiPriority w:val="0"/>
    <w:pPr>
      <w:tabs>
        <w:tab w:val="center" w:pos="4153"/>
        <w:tab w:val="right" w:pos="8306"/>
      </w:tabs>
      <w:snapToGrid w:val="0"/>
      <w:jc w:val="left"/>
    </w:pPr>
    <w:rPr>
      <w:sz w:val="18"/>
      <w:szCs w:val="18"/>
    </w:rPr>
  </w:style>
  <w:style w:type="paragraph" w:styleId="16">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18">
    <w:name w:val="Subtitle"/>
    <w:basedOn w:val="3"/>
    <w:next w:val="1"/>
    <w:link w:val="59"/>
    <w:qFormat/>
    <w:uiPriority w:val="11"/>
    <w:pPr>
      <w:keepNext w:val="0"/>
      <w:keepLines w:val="0"/>
      <w:numPr>
        <w:ilvl w:val="1"/>
        <w:numId w:val="1"/>
      </w:numPr>
      <w:spacing w:before="100" w:beforeLines="100" w:beforeAutospacing="1" w:after="100" w:afterLines="100" w:afterAutospacing="1" w:line="240" w:lineRule="auto"/>
      <w:ind w:firstLine="0" w:firstLineChars="0"/>
      <w:jc w:val="left"/>
    </w:pPr>
    <w:rPr>
      <w:rFonts w:hint="eastAsia" w:ascii="宋体" w:hAnsi="宋体" w:eastAsia="方正仿宋_GB2312" w:cs="Times New Roman"/>
      <w:kern w:val="0"/>
      <w:sz w:val="30"/>
      <w:szCs w:val="36"/>
    </w:rPr>
  </w:style>
  <w:style w:type="paragraph" w:styleId="19">
    <w:name w:val="toc 2"/>
    <w:basedOn w:val="1"/>
    <w:next w:val="1"/>
    <w:autoRedefine/>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20">
    <w:name w:val="HTML Preformatted"/>
    <w:basedOn w:val="1"/>
    <w:link w:val="6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Times New Roman"/>
      <w:kern w:val="0"/>
      <w:szCs w:val="24"/>
    </w:rPr>
  </w:style>
  <w:style w:type="paragraph" w:styleId="21">
    <w:name w:val="Normal (Web)"/>
    <w:basedOn w:val="1"/>
    <w:unhideWhenUsed/>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styleId="22">
    <w:name w:val="Title"/>
    <w:basedOn w:val="2"/>
    <w:next w:val="1"/>
    <w:link w:val="61"/>
    <w:qFormat/>
    <w:uiPriority w:val="10"/>
    <w:pPr>
      <w:keepNext w:val="0"/>
      <w:widowControl w:val="0"/>
      <w:numPr>
        <w:ilvl w:val="0"/>
        <w:numId w:val="1"/>
      </w:numPr>
      <w:spacing w:before="312" w:beforeAutospacing="1" w:after="312" w:afterAutospacing="1" w:line="240" w:lineRule="auto"/>
    </w:pPr>
    <w:rPr>
      <w:rFonts w:hint="eastAsia" w:ascii="宋体" w:hAnsi="宋体" w:eastAsia="黑体" w:cs="Times New Roman"/>
      <w:b w:val="0"/>
      <w:kern w:val="44"/>
      <w:sz w:val="36"/>
      <w:szCs w:val="48"/>
    </w:rPr>
  </w:style>
  <w:style w:type="paragraph" w:styleId="23">
    <w:name w:val="Body Text First Indent"/>
    <w:basedOn w:val="8"/>
    <w:link w:val="62"/>
    <w:qFormat/>
    <w:uiPriority w:val="0"/>
    <w:pPr>
      <w:ind w:firstLine="420" w:firstLineChars="100"/>
    </w:pPr>
  </w:style>
  <w:style w:type="paragraph" w:styleId="24">
    <w:name w:val="Body Text First Indent 2"/>
    <w:basedOn w:val="10"/>
    <w:next w:val="1"/>
    <w:link w:val="63"/>
    <w:qFormat/>
    <w:uiPriority w:val="99"/>
    <w:pPr>
      <w:spacing w:line="360" w:lineRule="auto"/>
      <w:ind w:firstLine="200" w:firstLineChars="200"/>
    </w:pPr>
    <w:rPr>
      <w:rFonts w:ascii="宋体"/>
      <w:szCs w:val="20"/>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Emphasis"/>
    <w:qFormat/>
    <w:uiPriority w:val="0"/>
    <w:rPr>
      <w:i/>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标题 1 字符"/>
    <w:basedOn w:val="27"/>
    <w:link w:val="2"/>
    <w:qFormat/>
    <w:uiPriority w:val="9"/>
    <w:rPr>
      <w:rFonts w:eastAsia="仿宋" w:cs="宋体" w:asciiTheme="majorHAnsi" w:hAnsiTheme="majorHAnsi"/>
      <w:b/>
      <w:bCs/>
      <w:kern w:val="32"/>
      <w:sz w:val="24"/>
      <w:szCs w:val="32"/>
    </w:rPr>
  </w:style>
  <w:style w:type="paragraph" w:styleId="32">
    <w:name w:val="List Paragraph"/>
    <w:basedOn w:val="1"/>
    <w:qFormat/>
    <w:uiPriority w:val="34"/>
    <w:pPr>
      <w:widowControl/>
      <w:ind w:left="720"/>
      <w:contextualSpacing/>
      <w:jc w:val="left"/>
    </w:pPr>
    <w:rPr>
      <w:rFonts w:cs="Times New Roman"/>
      <w:kern w:val="0"/>
      <w:szCs w:val="24"/>
    </w:rPr>
  </w:style>
  <w:style w:type="table" w:customStyle="1" w:styleId="33">
    <w:name w:val="Grid Table 1 Light Accent 1"/>
    <w:basedOn w:val="25"/>
    <w:qFormat/>
    <w:uiPriority w:val="46"/>
    <w:rPr>
      <w:rFonts w:cs="Times New Roman"/>
      <w:kern w:val="0"/>
      <w:sz w:val="22"/>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34">
    <w:name w:val="页眉 字符"/>
    <w:basedOn w:val="27"/>
    <w:link w:val="16"/>
    <w:qFormat/>
    <w:uiPriority w:val="0"/>
    <w:rPr>
      <w:sz w:val="18"/>
      <w:szCs w:val="18"/>
    </w:rPr>
  </w:style>
  <w:style w:type="character" w:customStyle="1" w:styleId="35">
    <w:name w:val="页脚 字符"/>
    <w:basedOn w:val="27"/>
    <w:link w:val="15"/>
    <w:qFormat/>
    <w:uiPriority w:val="0"/>
    <w:rPr>
      <w:sz w:val="18"/>
      <w:szCs w:val="18"/>
    </w:rPr>
  </w:style>
  <w:style w:type="character" w:customStyle="1" w:styleId="36">
    <w:name w:val="未处理的提及1"/>
    <w:basedOn w:val="27"/>
    <w:semiHidden/>
    <w:unhideWhenUsed/>
    <w:qFormat/>
    <w:uiPriority w:val="99"/>
    <w:rPr>
      <w:color w:val="605E5C"/>
      <w:shd w:val="clear" w:color="auto" w:fill="E1DFDD"/>
    </w:rPr>
  </w:style>
  <w:style w:type="character" w:customStyle="1" w:styleId="37">
    <w:name w:val="标题 2 字符"/>
    <w:basedOn w:val="27"/>
    <w:link w:val="3"/>
    <w:qFormat/>
    <w:uiPriority w:val="9"/>
    <w:rPr>
      <w:rFonts w:asciiTheme="majorHAnsi" w:hAnsiTheme="majorHAnsi" w:eastAsiaTheme="majorEastAsia" w:cstheme="majorBidi"/>
      <w:b/>
      <w:bCs/>
      <w:sz w:val="32"/>
      <w:szCs w:val="32"/>
    </w:rPr>
  </w:style>
  <w:style w:type="character" w:customStyle="1" w:styleId="38">
    <w:name w:val="正文文本 字符"/>
    <w:basedOn w:val="27"/>
    <w:link w:val="8"/>
    <w:qFormat/>
    <w:uiPriority w:val="99"/>
    <w:rPr>
      <w:rFonts w:ascii="Calibri" w:hAnsi="Calibri" w:eastAsia="宋体" w:cs="Times New Roman"/>
      <w:szCs w:val="24"/>
    </w:rPr>
  </w:style>
  <w:style w:type="character" w:customStyle="1" w:styleId="39">
    <w:name w:val="标题 3 字符"/>
    <w:basedOn w:val="27"/>
    <w:link w:val="4"/>
    <w:qFormat/>
    <w:uiPriority w:val="9"/>
    <w:rPr>
      <w:rFonts w:eastAsia="仿宋"/>
      <w:b/>
      <w:bCs/>
      <w:sz w:val="32"/>
      <w:szCs w:val="32"/>
    </w:rPr>
  </w:style>
  <w:style w:type="character" w:customStyle="1" w:styleId="40">
    <w:name w:val="bjh-p"/>
    <w:basedOn w:val="27"/>
    <w:qFormat/>
    <w:uiPriority w:val="0"/>
  </w:style>
  <w:style w:type="character" w:customStyle="1" w:styleId="41">
    <w:name w:val="bjh-strong"/>
    <w:basedOn w:val="27"/>
    <w:qFormat/>
    <w:uiPriority w:val="0"/>
  </w:style>
  <w:style w:type="paragraph" w:customStyle="1" w:styleId="42">
    <w:name w:val="_Style 5"/>
    <w:qFormat/>
    <w:uiPriority w:val="0"/>
    <w:pPr>
      <w:widowControl w:val="0"/>
      <w:ind w:firstLine="200" w:firstLineChars="200"/>
      <w:jc w:val="both"/>
    </w:pPr>
    <w:rPr>
      <w:rFonts w:ascii="Times New Roman" w:hAnsi="Times New Roman" w:eastAsia="宋体" w:cs="Times New Roman"/>
      <w:kern w:val="2"/>
      <w:sz w:val="24"/>
      <w:szCs w:val="20"/>
      <w:lang w:val="en-US" w:eastAsia="zh-CN" w:bidi="ar-SA"/>
    </w:rPr>
  </w:style>
  <w:style w:type="table" w:customStyle="1" w:styleId="43">
    <w:name w:val="Grid Table 4 Accent 5"/>
    <w:basedOn w:val="25"/>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44">
    <w:name w:val="Grid Table 4 Accent 1"/>
    <w:basedOn w:val="25"/>
    <w:qFormat/>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45">
    <w:name w:val="日期 字符"/>
    <w:basedOn w:val="27"/>
    <w:link w:val="13"/>
    <w:semiHidden/>
    <w:qFormat/>
    <w:uiPriority w:val="99"/>
    <w:rPr>
      <w:rFonts w:eastAsia="仿宋"/>
      <w:sz w:val="24"/>
    </w:rPr>
  </w:style>
  <w:style w:type="character" w:customStyle="1" w:styleId="46">
    <w:name w:val="Unresolved Mention"/>
    <w:basedOn w:val="27"/>
    <w:semiHidden/>
    <w:unhideWhenUsed/>
    <w:qFormat/>
    <w:uiPriority w:val="99"/>
    <w:rPr>
      <w:color w:val="605E5C"/>
      <w:shd w:val="clear" w:color="auto" w:fill="E1DFDD"/>
    </w:rPr>
  </w:style>
  <w:style w:type="paragraph" w:customStyle="1" w:styleId="47">
    <w:name w:val="Revision"/>
    <w:hidden/>
    <w:semiHidden/>
    <w:qFormat/>
    <w:uiPriority w:val="99"/>
    <w:rPr>
      <w:rFonts w:eastAsia="仿宋" w:asciiTheme="minorHAnsi" w:hAnsiTheme="minorHAnsi" w:cstheme="minorBidi"/>
      <w:kern w:val="2"/>
      <w:sz w:val="24"/>
      <w:szCs w:val="22"/>
      <w:lang w:val="en-US" w:eastAsia="zh-CN" w:bidi="ar-SA"/>
    </w:rPr>
  </w:style>
  <w:style w:type="paragraph" w:customStyle="1" w:styleId="48">
    <w:name w:val="a正文"/>
    <w:basedOn w:val="1"/>
    <w:link w:val="49"/>
    <w:qFormat/>
    <w:uiPriority w:val="0"/>
    <w:pPr>
      <w:widowControl/>
      <w:topLinePunct/>
    </w:pPr>
    <w:rPr>
      <w:rFonts w:ascii="Times New Roman" w:hAnsi="Times New Roman"/>
      <w:kern w:val="0"/>
      <w:szCs w:val="24"/>
    </w:rPr>
  </w:style>
  <w:style w:type="character" w:customStyle="1" w:styleId="49">
    <w:name w:val="a正文 Char"/>
    <w:basedOn w:val="27"/>
    <w:link w:val="48"/>
    <w:qFormat/>
    <w:uiPriority w:val="0"/>
    <w:rPr>
      <w:rFonts w:ascii="Times New Roman" w:hAnsi="Times New Roman" w:eastAsia="仿宋"/>
      <w:kern w:val="0"/>
      <w:sz w:val="24"/>
      <w:szCs w:val="24"/>
    </w:rPr>
  </w:style>
  <w:style w:type="table" w:customStyle="1" w:styleId="50">
    <w:name w:val="Grid Table 6 Colorful Accent 5"/>
    <w:basedOn w:val="25"/>
    <w:qFormat/>
    <w:uiPriority w:val="51"/>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51">
    <w:name w:val="TOC Heading"/>
    <w:basedOn w:val="2"/>
    <w:next w:val="1"/>
    <w:unhideWhenUsed/>
    <w:qFormat/>
    <w:uiPriority w:val="39"/>
    <w:pPr>
      <w:keepLines/>
      <w:spacing w:before="240" w:line="259" w:lineRule="auto"/>
      <w:outlineLvl w:val="9"/>
    </w:pPr>
    <w:rPr>
      <w:rFonts w:eastAsiaTheme="majorEastAsia" w:cstheme="majorBidi"/>
      <w:b w:val="0"/>
      <w:bCs w:val="0"/>
      <w:color w:val="2F5597" w:themeColor="accent1" w:themeShade="BF"/>
      <w:kern w:val="0"/>
      <w:sz w:val="32"/>
    </w:rPr>
  </w:style>
  <w:style w:type="table" w:customStyle="1" w:styleId="52">
    <w:name w:val="Grid Table 3 Accent 5"/>
    <w:basedOn w:val="25"/>
    <w:qFormat/>
    <w:uiPriority w:val="48"/>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53">
    <w:name w:val="正文文本缩进 2 字符"/>
    <w:basedOn w:val="27"/>
    <w:link w:val="14"/>
    <w:semiHidden/>
    <w:qFormat/>
    <w:uiPriority w:val="99"/>
    <w:rPr>
      <w:rFonts w:eastAsia="仿宋"/>
      <w:sz w:val="24"/>
    </w:rPr>
  </w:style>
  <w:style w:type="character" w:customStyle="1" w:styleId="54">
    <w:name w:val="wx_search_keyword_wrap"/>
    <w:basedOn w:val="27"/>
    <w:qFormat/>
    <w:uiPriority w:val="0"/>
  </w:style>
  <w:style w:type="character" w:customStyle="1" w:styleId="55">
    <w:name w:val="标题 4 字符"/>
    <w:basedOn w:val="27"/>
    <w:link w:val="5"/>
    <w:semiHidden/>
    <w:qFormat/>
    <w:uiPriority w:val="9"/>
    <w:rPr>
      <w:rFonts w:asciiTheme="majorHAnsi" w:hAnsiTheme="majorHAnsi" w:eastAsiaTheme="majorEastAsia" w:cstheme="majorBidi"/>
      <w:b/>
      <w:bCs/>
      <w:sz w:val="28"/>
      <w:szCs w:val="28"/>
    </w:rPr>
  </w:style>
  <w:style w:type="table" w:customStyle="1" w:styleId="56">
    <w:name w:val="Grid Table 1 Light Accent 5"/>
    <w:basedOn w:val="25"/>
    <w:qFormat/>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character" w:customStyle="1" w:styleId="57">
    <w:name w:val="标题 5 字符"/>
    <w:basedOn w:val="27"/>
    <w:link w:val="6"/>
    <w:qFormat/>
    <w:uiPriority w:val="0"/>
    <w:rPr>
      <w:rFonts w:ascii="宋体" w:hAnsi="宋体" w:eastAsia="宋体" w:cs="Times New Roman"/>
      <w:b/>
      <w:bCs/>
      <w:kern w:val="0"/>
      <w:sz w:val="20"/>
      <w:szCs w:val="20"/>
    </w:rPr>
  </w:style>
  <w:style w:type="character" w:customStyle="1" w:styleId="58">
    <w:name w:val="正文文本缩进 字符"/>
    <w:basedOn w:val="27"/>
    <w:link w:val="10"/>
    <w:qFormat/>
    <w:uiPriority w:val="99"/>
    <w:rPr>
      <w:rFonts w:ascii="Calibri" w:hAnsi="Calibri" w:eastAsia="宋体" w:cs="Times New Roman"/>
      <w:szCs w:val="24"/>
    </w:rPr>
  </w:style>
  <w:style w:type="character" w:customStyle="1" w:styleId="59">
    <w:name w:val="副标题 字符"/>
    <w:basedOn w:val="27"/>
    <w:link w:val="18"/>
    <w:qFormat/>
    <w:uiPriority w:val="11"/>
    <w:rPr>
      <w:rFonts w:ascii="宋体" w:hAnsi="宋体" w:eastAsia="方正仿宋_GB2312" w:cs="Times New Roman"/>
      <w:b/>
      <w:bCs/>
      <w:kern w:val="0"/>
      <w:sz w:val="30"/>
      <w:szCs w:val="36"/>
    </w:rPr>
  </w:style>
  <w:style w:type="character" w:customStyle="1" w:styleId="60">
    <w:name w:val="HTML 预设格式 字符"/>
    <w:basedOn w:val="27"/>
    <w:link w:val="20"/>
    <w:qFormat/>
    <w:uiPriority w:val="0"/>
    <w:rPr>
      <w:rFonts w:ascii="宋体" w:hAnsi="宋体" w:eastAsia="宋体" w:cs="Times New Roman"/>
      <w:kern w:val="0"/>
      <w:sz w:val="24"/>
      <w:szCs w:val="24"/>
    </w:rPr>
  </w:style>
  <w:style w:type="character" w:customStyle="1" w:styleId="61">
    <w:name w:val="标题 字符"/>
    <w:basedOn w:val="27"/>
    <w:link w:val="22"/>
    <w:qFormat/>
    <w:uiPriority w:val="10"/>
    <w:rPr>
      <w:rFonts w:ascii="宋体" w:hAnsi="宋体" w:eastAsia="黑体" w:cs="Times New Roman"/>
      <w:bCs/>
      <w:kern w:val="44"/>
      <w:sz w:val="36"/>
      <w:szCs w:val="48"/>
    </w:rPr>
  </w:style>
  <w:style w:type="character" w:customStyle="1" w:styleId="62">
    <w:name w:val="正文文本首行缩进 字符"/>
    <w:basedOn w:val="38"/>
    <w:link w:val="23"/>
    <w:qFormat/>
    <w:uiPriority w:val="0"/>
    <w:rPr>
      <w:rFonts w:ascii="Calibri" w:hAnsi="Calibri" w:eastAsia="宋体" w:cs="Times New Roman"/>
      <w:szCs w:val="24"/>
    </w:rPr>
  </w:style>
  <w:style w:type="character" w:customStyle="1" w:styleId="63">
    <w:name w:val="正文文本首行缩进 2 字符"/>
    <w:basedOn w:val="58"/>
    <w:link w:val="24"/>
    <w:qFormat/>
    <w:uiPriority w:val="99"/>
    <w:rPr>
      <w:rFonts w:ascii="宋体" w:hAnsi="Calibri" w:eastAsia="宋体" w:cs="Times New Roman"/>
      <w:szCs w:val="20"/>
    </w:rPr>
  </w:style>
  <w:style w:type="paragraph" w:customStyle="1" w:styleId="64">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character" w:customStyle="1" w:styleId="65">
    <w:name w:val="font101"/>
    <w:basedOn w:val="27"/>
    <w:qFormat/>
    <w:uiPriority w:val="0"/>
    <w:rPr>
      <w:rFonts w:ascii="方正仿宋_GBK" w:hAnsi="方正仿宋_GBK" w:eastAsia="方正仿宋_GBK" w:cs="方正仿宋_GBK"/>
      <w:color w:val="000000"/>
      <w:sz w:val="24"/>
      <w:szCs w:val="24"/>
      <w:u w:val="none"/>
    </w:rPr>
  </w:style>
  <w:style w:type="paragraph" w:customStyle="1" w:styleId="66">
    <w:name w:val="_Style 16"/>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character" w:customStyle="1" w:styleId="67">
    <w:name w:val="font91"/>
    <w:basedOn w:val="27"/>
    <w:qFormat/>
    <w:uiPriority w:val="0"/>
    <w:rPr>
      <w:rFonts w:hint="eastAsia" w:ascii="方正仿宋_GBK" w:hAnsi="方正仿宋_GBK" w:eastAsia="方正仿宋_GBK" w:cs="方正仿宋_GBK"/>
      <w:color w:val="000000"/>
      <w:sz w:val="24"/>
      <w:szCs w:val="24"/>
      <w:u w:val="none"/>
    </w:rPr>
  </w:style>
  <w:style w:type="character" w:customStyle="1" w:styleId="68">
    <w:name w:val="font111"/>
    <w:basedOn w:val="27"/>
    <w:qFormat/>
    <w:uiPriority w:val="0"/>
    <w:rPr>
      <w:rFonts w:hint="eastAsia" w:ascii="方正仿宋_GBK" w:hAnsi="方正仿宋_GBK" w:eastAsia="方正仿宋_GBK" w:cs="方正仿宋_GBK"/>
      <w:b/>
      <w:color w:val="000000"/>
      <w:sz w:val="24"/>
      <w:szCs w:val="24"/>
      <w:u w:val="none"/>
    </w:rPr>
  </w:style>
  <w:style w:type="character" w:customStyle="1" w:styleId="69">
    <w:name w:val="font51"/>
    <w:basedOn w:val="27"/>
    <w:qFormat/>
    <w:uiPriority w:val="0"/>
    <w:rPr>
      <w:rFonts w:ascii="仿宋" w:hAnsi="仿宋" w:eastAsia="仿宋" w:cs="仿宋"/>
      <w:color w:val="000000"/>
      <w:sz w:val="24"/>
      <w:szCs w:val="24"/>
      <w:u w:val="none"/>
    </w:rPr>
  </w:style>
  <w:style w:type="character" w:customStyle="1" w:styleId="70">
    <w:name w:val="font41"/>
    <w:basedOn w:val="27"/>
    <w:qFormat/>
    <w:uiPriority w:val="0"/>
    <w:rPr>
      <w:rFonts w:hint="eastAsia" w:ascii="仿宋" w:hAnsi="仿宋" w:eastAsia="仿宋" w:cs="仿宋"/>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jpeg"/><Relationship Id="rId33" Type="http://schemas.openxmlformats.org/officeDocument/2006/relationships/image" Target="https://pics5.baidu.com/feed/4b90f603738da9770c83e76711ca25178718e37c.jpeg@f_auto?token=2bf6d0b622278b82ea74c38383d15d95" TargetMode="External"/><Relationship Id="rId32" Type="http://schemas.openxmlformats.org/officeDocument/2006/relationships/image" Target="media/image12.jpeg"/><Relationship Id="rId31" Type="http://schemas.openxmlformats.org/officeDocument/2006/relationships/image" Target="https://mmbiz.qpic.cn/mmbiz_jpg/u9a9tOa2rCAgliaLQvgSCNj4icDBoB4fj2LicELNeVC7EkdJuKXmRK06ERVRdMTTlHgJq2ZzhQxMVXpVRaicgeN72A/640?wx_fmt=jpeg%26from=appmsg%26wxfrom=13%26tp=wxpic" TargetMode="External"/><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https://mmbiz.qpic.cn/mmbiz_jpg/WiaRpA7j5JGzDTdhPRhBbE6xcbSAfPuspWRNU8Ss1ZIhBaec8O4KqnkC3ib8c5csNy2rI1A7Am1RZ8RKU4kWkq6Q/640?wx_fmt=jpeg%26tp=wxpic%26wxfrom=5%26wx_lazy=1%26wx_co=1" TargetMode="External"/><Relationship Id="rId28" Type="http://schemas.openxmlformats.org/officeDocument/2006/relationships/image" Target="media/image10.jpeg"/><Relationship Id="rId27" Type="http://schemas.openxmlformats.org/officeDocument/2006/relationships/image" Target="https://mmbiz.qpic.cn/sz_mmbiz_jpg/MB6Klw8sicpWsnHxHn9eYhwNgyJiaZHFEgEjdy8lVl64Vrsf8egcXcCeZGNzx71MsuCHgWK3uRZ6bRK8cxjxfa8g/640?wx_fmt=jpeg%26from=appmsg%26wxfrom=13" TargetMode="External"/><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https://mmbiz.qpic.cn/mmbiz_png/aRGEKIYu71wGibKQLNlNw7aZFpaUKIYE75JxUhAAjeo66nGuxBm10hot0Zic1lsKjYxWnib4MicU2SvS7iaJt36NHjw/640?wx_fmt=png%26from=appmsg%26wxfrom=13%26tp=wxpic" TargetMode="External"/><Relationship Id="rId23" Type="http://schemas.openxmlformats.org/officeDocument/2006/relationships/image" Target="media/image7.png"/><Relationship Id="rId22" Type="http://schemas.openxmlformats.org/officeDocument/2006/relationships/image" Target="http://e.thsi.cn/img/333abdede46df00" TargetMode="External"/><Relationship Id="rId21" Type="http://schemas.openxmlformats.org/officeDocument/2006/relationships/image" Target="media/image6.png"/><Relationship Id="rId20" Type="http://schemas.openxmlformats.org/officeDocument/2006/relationships/image" Target="https://mmbiz.qpic.cn/sz_mmbiz_jpg/9iaibkP9mPS4bMB8nqBXxjQGZGYVvYSIEb9G5jibic1U4XGQCuq6HXOibPU7AKyhKJ8qDoVp4Zb8FIREshnMqicR9Pcw/640?wx_fmt=other%26wxfrom=5%26wx_lazy=1%26wx_co=1%26tp=webp" TargetMode="Externa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https://mmbiz.qpic.cn/sz_mmbiz_png/d7BjJNuaHH7hfkfKj486MGCWFicEP1nxW82zrTVxtNPzARp6DjVfbKic6gRIO5DbCIiaXTNuj1Bu4UfVNF5NdpQZA/640?wx_fmt=png%26from=appmsg%26tp=webp%26wxfrom=5%26wx_lazy=1%26wx_co=1" TargetMode="External"/><Relationship Id="rId17" Type="http://schemas.openxmlformats.org/officeDocument/2006/relationships/image" Target="media/image4.png"/><Relationship Id="rId16" Type="http://schemas.openxmlformats.org/officeDocument/2006/relationships/image" Target="https://mmbiz.qpic.cn/sz_mmbiz_png/WgD61wWibEUnmvQ1nPoERwibvv7CTibOVGYLXXhjzeeibg0gGvYYaWeXdicTG6REiaT7tZEspfTXjlI5deqs7Dc6ia0pQ/640?wx_fmt=png%26from=appmsg%26tp=webp%26wxfrom=5%26wx_lazy=1%26wx_co=1" TargetMode="External"/><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8FB22-D9ED-4E42-96B4-6C7121E4702E}">
  <ds:schemaRefs/>
</ds:datastoreItem>
</file>

<file path=docProps/app.xml><?xml version="1.0" encoding="utf-8"?>
<Properties xmlns="http://schemas.openxmlformats.org/officeDocument/2006/extended-properties" xmlns:vt="http://schemas.openxmlformats.org/officeDocument/2006/docPropsVTypes">
  <Template>Normal</Template>
  <Pages>32</Pages>
  <Words>16793</Words>
  <Characters>18085</Characters>
  <Lines>223</Lines>
  <Paragraphs>62</Paragraphs>
  <TotalTime>494</TotalTime>
  <ScaleCrop>false</ScaleCrop>
  <LinksUpToDate>false</LinksUpToDate>
  <CharactersWithSpaces>18410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2024-11-08T06:54:00Z</dcterms:created>
  <dc:creator>微软中国</dc:creator>
  <cp:lastModifiedBy>含泪的微笑</cp:lastModifiedBy>
  <cp:lastPrinted>2024-09-04T06:25:00Z</cp:lastPrinted>
  <dcterms:modified xsi:type="dcterms:W3CDTF">2024-12-19T01:26:31Z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60094897230645928D88FC866F275F5C_13</vt:lpwstr>
  </property>
</Properties>
</file>