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F39354">
      <w:pPr>
        <w:ind w:firstLine="562"/>
        <w:jc w:val="center"/>
        <w:rPr>
          <w:rFonts w:hint="eastAsia" w:ascii="仿宋" w:hAnsi="仿宋"/>
          <w:b/>
          <w:bCs/>
          <w:sz w:val="28"/>
          <w:szCs w:val="32"/>
        </w:rPr>
      </w:pPr>
      <w:bookmarkStart w:id="50" w:name="_GoBack"/>
      <w:bookmarkEnd w:id="50"/>
      <w:r>
        <w:rPr>
          <w:rFonts w:ascii="仿宋" w:hAnsi="仿宋"/>
          <w:b/>
          <w:bCs/>
          <w:sz w:val="28"/>
          <w:szCs w:val="32"/>
        </w:rPr>
        <w:drawing>
          <wp:anchor distT="0" distB="0" distL="114300" distR="114300" simplePos="0" relativeHeight="251659264" behindDoc="1" locked="0" layoutInCell="1" allowOverlap="1">
            <wp:simplePos x="0" y="0"/>
            <wp:positionH relativeFrom="column">
              <wp:posOffset>-1297305</wp:posOffset>
            </wp:positionH>
            <wp:positionV relativeFrom="paragraph">
              <wp:posOffset>-1408430</wp:posOffset>
            </wp:positionV>
            <wp:extent cx="7713980" cy="10906760"/>
            <wp:effectExtent l="0" t="0" r="1905"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36432" cy="10938898"/>
                    </a:xfrm>
                    <a:prstGeom prst="rect">
                      <a:avLst/>
                    </a:prstGeom>
                  </pic:spPr>
                </pic:pic>
              </a:graphicData>
            </a:graphic>
          </wp:anchor>
        </w:drawing>
      </w:r>
    </w:p>
    <w:p w14:paraId="4D18DD8D">
      <w:pPr>
        <w:ind w:firstLine="562"/>
        <w:jc w:val="center"/>
        <w:rPr>
          <w:rFonts w:hint="eastAsia" w:ascii="仿宋" w:hAnsi="仿宋"/>
          <w:b/>
          <w:bCs/>
          <w:sz w:val="28"/>
          <w:szCs w:val="32"/>
        </w:rPr>
      </w:pPr>
    </w:p>
    <w:p w14:paraId="4A1E170D">
      <w:pPr>
        <w:ind w:firstLine="562"/>
        <w:jc w:val="center"/>
        <w:rPr>
          <w:rFonts w:hint="eastAsia" w:ascii="仿宋" w:hAnsi="仿宋"/>
          <w:b/>
          <w:bCs/>
          <w:sz w:val="28"/>
          <w:szCs w:val="32"/>
        </w:rPr>
      </w:pPr>
    </w:p>
    <w:p w14:paraId="6031C2C6">
      <w:pPr>
        <w:ind w:firstLine="562"/>
        <w:rPr>
          <w:rFonts w:hint="eastAsia" w:ascii="仿宋" w:hAnsi="仿宋"/>
          <w:b/>
          <w:bCs/>
          <w:sz w:val="28"/>
          <w:szCs w:val="32"/>
        </w:rPr>
      </w:pPr>
    </w:p>
    <w:p w14:paraId="243E238B">
      <w:pPr>
        <w:spacing w:line="1000" w:lineRule="exact"/>
        <w:ind w:firstLine="0" w:firstLineChars="0"/>
        <w:jc w:val="center"/>
        <w:rPr>
          <w:rFonts w:hint="eastAsia" w:ascii="仿宋" w:hAnsi="仿宋"/>
          <w:b/>
          <w:bCs/>
          <w:color w:val="FFFFFF" w:themeColor="background1"/>
          <w:sz w:val="72"/>
          <w:szCs w:val="72"/>
          <w14:textFill>
            <w14:solidFill>
              <w14:schemeClr w14:val="bg1"/>
            </w14:solidFill>
          </w14:textFill>
        </w:rPr>
      </w:pPr>
      <w:bookmarkStart w:id="0" w:name="_Hlk131690023"/>
    </w:p>
    <w:p w14:paraId="7028449B">
      <w:pPr>
        <w:spacing w:line="1000" w:lineRule="exact"/>
        <w:ind w:firstLine="0" w:firstLineChars="0"/>
        <w:jc w:val="center"/>
        <w:rPr>
          <w:rFonts w:hint="eastAsia" w:ascii="微软雅黑" w:hAnsi="微软雅黑" w:eastAsia="微软雅黑"/>
          <w:b/>
          <w:bCs/>
          <w:color w:val="FFFFFF" w:themeColor="background1"/>
          <w:sz w:val="72"/>
          <w:szCs w:val="72"/>
          <w14:textFill>
            <w14:solidFill>
              <w14:schemeClr w14:val="bg1"/>
            </w14:solidFill>
          </w14:textFill>
        </w:rPr>
      </w:pPr>
      <w:r>
        <w:rPr>
          <w:rFonts w:hint="eastAsia" w:ascii="微软雅黑" w:hAnsi="微软雅黑" w:eastAsia="微软雅黑"/>
          <w:b/>
          <w:bCs/>
          <w:color w:val="FFFFFF" w:themeColor="background1"/>
          <w:sz w:val="72"/>
          <w:szCs w:val="72"/>
          <w14:textFill>
            <w14:solidFill>
              <w14:schemeClr w14:val="bg1"/>
            </w14:solidFill>
          </w14:textFill>
        </w:rPr>
        <w:t>中国</w:t>
      </w:r>
      <w:r>
        <w:rPr>
          <w:rFonts w:ascii="微软雅黑" w:hAnsi="微软雅黑" w:eastAsia="微软雅黑"/>
          <w:b/>
          <w:bCs/>
          <w:color w:val="FFFFFF" w:themeColor="background1"/>
          <w:sz w:val="72"/>
          <w:szCs w:val="72"/>
          <w14:textFill>
            <w14:solidFill>
              <w14:schemeClr w14:val="bg1"/>
            </w14:solidFill>
          </w14:textFill>
        </w:rPr>
        <w:t>城市轨道交通</w:t>
      </w:r>
    </w:p>
    <w:p w14:paraId="07C8AD2C">
      <w:pPr>
        <w:spacing w:line="1000" w:lineRule="exact"/>
        <w:ind w:firstLine="0" w:firstLineChars="0"/>
        <w:jc w:val="center"/>
        <w:rPr>
          <w:rFonts w:hint="eastAsia" w:ascii="微软雅黑" w:hAnsi="微软雅黑" w:eastAsia="微软雅黑"/>
          <w:b/>
          <w:bCs/>
          <w:color w:val="FFFFFF" w:themeColor="background1"/>
          <w:sz w:val="72"/>
          <w:szCs w:val="72"/>
          <w14:textFill>
            <w14:solidFill>
              <w14:schemeClr w14:val="bg1"/>
            </w14:solidFill>
          </w14:textFill>
        </w:rPr>
      </w:pPr>
      <w:r>
        <w:rPr>
          <w:rFonts w:ascii="微软雅黑" w:hAnsi="微软雅黑" w:eastAsia="微软雅黑"/>
          <w:b/>
          <w:bCs/>
          <w:color w:val="FFFFFF" w:themeColor="background1"/>
          <w:sz w:val="72"/>
          <w:szCs w:val="72"/>
          <w14:textFill>
            <w14:solidFill>
              <w14:schemeClr w14:val="bg1"/>
            </w14:solidFill>
          </w14:textFill>
        </w:rPr>
        <w:t>TOD监测月报</w:t>
      </w:r>
    </w:p>
    <w:p w14:paraId="01035147">
      <w:pPr>
        <w:spacing w:line="1000" w:lineRule="exact"/>
        <w:ind w:firstLine="0" w:firstLineChars="0"/>
        <w:jc w:val="center"/>
        <w:rPr>
          <w:rFonts w:hint="eastAsia" w:ascii="微软雅黑" w:hAnsi="微软雅黑" w:eastAsia="微软雅黑"/>
          <w:color w:val="FFFFFF" w:themeColor="background1"/>
          <w:sz w:val="32"/>
          <w:szCs w:val="32"/>
          <w14:textFill>
            <w14:solidFill>
              <w14:schemeClr w14:val="bg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1474" w:footer="992" w:gutter="0"/>
          <w:pgNumType w:start="1"/>
          <w:cols w:space="425" w:num="1"/>
          <w:titlePg/>
          <w:docGrid w:type="lines" w:linePitch="326" w:charSpace="0"/>
        </w:sectPr>
      </w:pPr>
      <w:r>
        <w:rPr>
          <w:rFonts w:ascii="微软雅黑" w:hAnsi="微软雅黑" w:eastAsia="微软雅黑"/>
          <w:color w:val="FFFFFF" w:themeColor="background1"/>
          <w:sz w:val="32"/>
          <w:szCs w:val="32"/>
          <w14:textFill>
            <w14:solidFill>
              <w14:schemeClr w14:val="bg1"/>
            </w14:solidFill>
          </w14:textFill>
        </w:rPr>
        <w:t>（</w:t>
      </w:r>
      <w:bookmarkEnd w:id="0"/>
      <w:r>
        <w:rPr>
          <w:rFonts w:ascii="微软雅黑" w:hAnsi="微软雅黑" w:eastAsia="微软雅黑"/>
          <w:color w:val="FFFFFF" w:themeColor="background1"/>
          <w:sz w:val="32"/>
          <w:szCs w:val="32"/>
          <w14:textFill>
            <w14:solidFill>
              <w14:schemeClr w14:val="bg1"/>
            </w14:solidFill>
          </w14:textFill>
        </w:rPr>
        <w:t>2024年</w:t>
      </w:r>
      <w:r>
        <w:rPr>
          <w:rFonts w:hint="eastAsia" w:ascii="微软雅黑" w:hAnsi="微软雅黑" w:eastAsia="微软雅黑"/>
          <w:color w:val="FFFFFF" w:themeColor="background1"/>
          <w:sz w:val="32"/>
          <w:szCs w:val="32"/>
          <w14:textFill>
            <w14:solidFill>
              <w14:schemeClr w14:val="bg1"/>
            </w14:solidFill>
          </w14:textFill>
        </w:rPr>
        <w:t>12</w:t>
      </w:r>
      <w:r>
        <w:rPr>
          <w:rFonts w:ascii="微软雅黑" w:hAnsi="微软雅黑" w:eastAsia="微软雅黑"/>
          <w:color w:val="FFFFFF" w:themeColor="background1"/>
          <w:sz w:val="32"/>
          <w:szCs w:val="32"/>
          <w14:textFill>
            <w14:solidFill>
              <w14:schemeClr w14:val="bg1"/>
            </w14:solidFill>
          </w14:textFill>
        </w:rPr>
        <w:t>月）</w:t>
      </w:r>
    </w:p>
    <w:sdt>
      <w:sdtPr>
        <w:rPr>
          <w:rFonts w:ascii="仿宋" w:hAnsi="仿宋" w:eastAsia="仿宋" w:cstheme="minorBidi"/>
          <w:b/>
          <w:bCs/>
          <w:szCs w:val="22"/>
        </w:rPr>
        <w:id w:val="1723481355"/>
        <w:docPartObj>
          <w:docPartGallery w:val="Table of Contents"/>
          <w:docPartUnique/>
        </w:docPartObj>
      </w:sdtPr>
      <w:sdtEndPr>
        <w:rPr>
          <w:rFonts w:ascii="仿宋" w:hAnsi="仿宋" w:eastAsia="仿宋" w:cstheme="minorBidi"/>
          <w:b w:val="0"/>
          <w:bCs w:val="0"/>
          <w:szCs w:val="22"/>
          <w:lang w:val="zh-CN"/>
        </w:rPr>
      </w:sdtEndPr>
      <w:sdtContent>
        <w:p w14:paraId="62E3343E">
          <w:pPr>
            <w:pStyle w:val="42"/>
            <w:ind w:firstLine="482"/>
            <w:jc w:val="center"/>
            <w:rPr>
              <w:rStyle w:val="49"/>
              <w:rFonts w:hint="eastAsia" w:asciiTheme="minorEastAsia" w:hAnsiTheme="minorEastAsia" w:eastAsiaTheme="minorEastAsia"/>
            </w:rPr>
          </w:pPr>
          <w:bookmarkStart w:id="1" w:name="_Toc166311268"/>
          <w:bookmarkStart w:id="2" w:name="_Toc166169574"/>
          <w:bookmarkStart w:id="3" w:name="_Toc166095659"/>
          <w:r>
            <w:rPr>
              <w:rStyle w:val="49"/>
              <w:rFonts w:asciiTheme="minorEastAsia" w:hAnsiTheme="minorEastAsia" w:eastAsiaTheme="minorEastAsia"/>
            </w:rPr>
            <w:t>目录</w:t>
          </w:r>
          <w:bookmarkEnd w:id="1"/>
          <w:bookmarkEnd w:id="2"/>
          <w:bookmarkEnd w:id="3"/>
        </w:p>
        <w:p w14:paraId="07F6D69B">
          <w:pPr>
            <w:pStyle w:val="17"/>
            <w:tabs>
              <w:tab w:val="right" w:leader="dot" w:pos="8296"/>
            </w:tabs>
            <w:rPr>
              <w:rFonts w:hint="eastAsia" w:cstheme="minorBidi"/>
              <w:kern w:val="2"/>
              <w:sz w:val="21"/>
              <w14:ligatures w14:val="standardContextual"/>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"_Toc184843540" </w:instrText>
          </w:r>
          <w:r>
            <w:fldChar w:fldCharType="separate"/>
          </w:r>
          <w:r>
            <w:rPr>
              <w:rStyle w:val="30"/>
              <w:rFonts w:hint="eastAsia" w:ascii="仿宋" w:hAnsi="仿宋"/>
              <w:kern w:val="44"/>
            </w:rPr>
            <w:t>摘要</w:t>
          </w:r>
          <w:r>
            <w:rPr>
              <w:rFonts w:hint="eastAsia"/>
            </w:rPr>
            <w:tab/>
          </w:r>
          <w:r>
            <w:rPr>
              <w:rFonts w:hint="eastAsia"/>
            </w:rPr>
            <w:fldChar w:fldCharType="begin"/>
          </w:r>
          <w:r>
            <w:rPr>
              <w:rFonts w:hint="eastAsia"/>
            </w:rPr>
            <w:instrText xml:space="preserve"> </w:instrText>
          </w:r>
          <w:r>
            <w:instrText xml:space="preserve">PAGEREF _Toc184843540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23939DC6">
          <w:pPr>
            <w:pStyle w:val="17"/>
            <w:tabs>
              <w:tab w:val="right" w:leader="dot" w:pos="8296"/>
            </w:tabs>
            <w:rPr>
              <w:rFonts w:hint="eastAsia" w:cstheme="minorBidi"/>
              <w:kern w:val="2"/>
              <w:sz w:val="21"/>
              <w14:ligatures w14:val="standardContextual"/>
            </w:rPr>
          </w:pPr>
          <w:r>
            <w:fldChar w:fldCharType="begin"/>
          </w:r>
          <w:r>
            <w:instrText xml:space="preserve"> HYPERLINK \l "_Toc184843541" </w:instrText>
          </w:r>
          <w:r>
            <w:fldChar w:fldCharType="separate"/>
          </w:r>
          <w:r>
            <w:rPr>
              <w:rStyle w:val="30"/>
              <w:rFonts w:hint="eastAsia" w:ascii="黑体" w:hAnsi="黑体" w:eastAsia="黑体"/>
              <w:kern w:val="44"/>
            </w:rPr>
            <w:t>一、政策动态</w:t>
          </w:r>
          <w:r>
            <w:rPr>
              <w:rFonts w:hint="eastAsia"/>
            </w:rPr>
            <w:tab/>
          </w:r>
          <w:r>
            <w:rPr>
              <w:rFonts w:hint="eastAsia"/>
            </w:rPr>
            <w:fldChar w:fldCharType="begin"/>
          </w:r>
          <w:r>
            <w:rPr>
              <w:rFonts w:hint="eastAsia"/>
            </w:rPr>
            <w:instrText xml:space="preserve"> </w:instrText>
          </w:r>
          <w:r>
            <w:instrText xml:space="preserve">PAGEREF _Toc184843541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711887DF">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"_Toc184843542" </w:instrText>
          </w:r>
          <w:r>
            <w:fldChar w:fldCharType="separate"/>
          </w:r>
          <w:r>
            <w:rPr>
              <w:rStyle w:val="30"/>
              <w:rFonts w:hint="eastAsia" w:ascii="仿宋" w:hAnsi="仿宋" w:cs="Arial"/>
              <w:lang w:bidi="ar"/>
            </w:rPr>
            <w:t>1.</w:t>
          </w:r>
          <w:r>
            <w:rPr>
              <w:rFonts w:hint="eastAsia" w:cstheme="minorBidi"/>
              <w:kern w:val="2"/>
              <w:sz w:val="21"/>
              <w14:ligatures w14:val="standardContextual"/>
            </w:rPr>
            <w:tab/>
          </w:r>
          <w:r>
            <w:rPr>
              <w:rStyle w:val="30"/>
              <w:rFonts w:hint="eastAsia" w:ascii="仿宋" w:hAnsi="仿宋" w:cs="Arial"/>
              <w:shd w:val="clear" w:color="auto" w:fill="FFFFFF"/>
              <w:lang w:bidi="ar"/>
            </w:rPr>
            <w:t>《陕西省综合立体交通网规划纲要》提出建成现代化高质量综合立体交通网</w:t>
          </w:r>
          <w:r>
            <w:rPr>
              <w:rFonts w:hint="eastAsia"/>
            </w:rPr>
            <w:tab/>
          </w:r>
          <w:r>
            <w:rPr>
              <w:rFonts w:hint="eastAsia"/>
            </w:rPr>
            <w:fldChar w:fldCharType="begin"/>
          </w:r>
          <w:r>
            <w:rPr>
              <w:rFonts w:hint="eastAsia"/>
            </w:rPr>
            <w:instrText xml:space="preserve"> </w:instrText>
          </w:r>
          <w:r>
            <w:instrText xml:space="preserve">PAGEREF _Toc184843542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55217923">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"_Toc184843543" </w:instrText>
          </w:r>
          <w:r>
            <w:fldChar w:fldCharType="separate"/>
          </w:r>
          <w:r>
            <w:rPr>
              <w:rStyle w:val="30"/>
              <w:rFonts w:hint="eastAsia" w:ascii="仿宋" w:hAnsi="仿宋" w:cs="Arial"/>
              <w:lang w:bidi="ar"/>
            </w:rPr>
            <w:t>2.</w:t>
          </w:r>
          <w:r>
            <w:rPr>
              <w:rFonts w:hint="eastAsia" w:cstheme="minorBidi"/>
              <w:kern w:val="2"/>
              <w:sz w:val="21"/>
              <w14:ligatures w14:val="standardContextual"/>
            </w:rPr>
            <w:tab/>
          </w:r>
          <w:r>
            <w:rPr>
              <w:rStyle w:val="30"/>
              <w:rFonts w:hint="eastAsia" w:ascii="仿宋" w:hAnsi="仿宋" w:cs="Arial"/>
              <w:shd w:val="clear" w:color="auto" w:fill="FFFFFF"/>
              <w:lang w:bidi="ar"/>
            </w:rPr>
            <w:t>《信阳市现代综合交通枢纽体系实施方案（2024-2026年）》提出坚持“站产城”融合发展</w:t>
          </w:r>
          <w:r>
            <w:rPr>
              <w:rFonts w:hint="eastAsia"/>
            </w:rPr>
            <w:tab/>
          </w:r>
          <w:r>
            <w:rPr>
              <w:rFonts w:hint="eastAsia"/>
            </w:rPr>
            <w:fldChar w:fldCharType="begin"/>
          </w:r>
          <w:r>
            <w:rPr>
              <w:rFonts w:hint="eastAsia"/>
            </w:rPr>
            <w:instrText xml:space="preserve"> </w:instrText>
          </w:r>
          <w:r>
            <w:instrText xml:space="preserve">PAGEREF _Toc184843543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003108C3">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"_Toc184843544" </w:instrText>
          </w:r>
          <w:r>
            <w:fldChar w:fldCharType="separate"/>
          </w:r>
          <w:r>
            <w:rPr>
              <w:rStyle w:val="30"/>
              <w:rFonts w:hint="eastAsia" w:ascii="仿宋" w:hAnsi="仿宋" w:cs="Arial"/>
              <w:lang w:bidi="ar"/>
            </w:rPr>
            <w:t>3.</w:t>
          </w:r>
          <w:r>
            <w:rPr>
              <w:rFonts w:hint="eastAsia" w:cstheme="minorBidi"/>
              <w:kern w:val="2"/>
              <w:sz w:val="21"/>
              <w14:ligatures w14:val="standardContextual"/>
            </w:rPr>
            <w:tab/>
          </w:r>
          <w:r>
            <w:rPr>
              <w:rStyle w:val="30"/>
              <w:rFonts w:hint="eastAsia" w:ascii="仿宋" w:hAnsi="仿宋" w:cs="Arial"/>
              <w:shd w:val="clear" w:color="auto" w:fill="FFFFFF"/>
              <w:lang w:bidi="ar"/>
            </w:rPr>
            <w:t>《德州市人民政府办公室关于进一步推动城市公共交通优先发展的意见（征求意见稿）》公开征求意见，</w:t>
          </w:r>
          <w:r>
            <w:rPr>
              <w:rStyle w:val="30"/>
              <w:rFonts w:hint="eastAsia" w:ascii="仿宋" w:hAnsi="仿宋"/>
            </w:rPr>
            <w:t>鼓励以TOD为导向的可持续发展模式</w:t>
          </w:r>
          <w:r>
            <w:rPr>
              <w:rFonts w:hint="eastAsia"/>
            </w:rPr>
            <w:tab/>
          </w:r>
          <w:r>
            <w:rPr>
              <w:rFonts w:hint="eastAsia"/>
            </w:rPr>
            <w:fldChar w:fldCharType="begin"/>
          </w:r>
          <w:r>
            <w:rPr>
              <w:rFonts w:hint="eastAsia"/>
            </w:rPr>
            <w:instrText xml:space="preserve"> </w:instrText>
          </w:r>
          <w:r>
            <w:instrText xml:space="preserve">PAGEREF _Toc184843544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7429DA88">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"_Toc184843545" </w:instrText>
          </w:r>
          <w:r>
            <w:fldChar w:fldCharType="separate"/>
          </w:r>
          <w:r>
            <w:rPr>
              <w:rStyle w:val="30"/>
              <w:rFonts w:hint="eastAsia" w:ascii="仿宋" w:hAnsi="仿宋" w:cs="Arial"/>
              <w:lang w:bidi="ar"/>
            </w:rPr>
            <w:t>4.</w:t>
          </w:r>
          <w:r>
            <w:rPr>
              <w:rFonts w:hint="eastAsia" w:cstheme="minorBidi"/>
              <w:kern w:val="2"/>
              <w:sz w:val="21"/>
              <w14:ligatures w14:val="standardContextual"/>
            </w:rPr>
            <w:tab/>
          </w:r>
          <w:r>
            <w:rPr>
              <w:rStyle w:val="30"/>
              <w:rFonts w:hint="eastAsia" w:ascii="仿宋" w:hAnsi="仿宋" w:cs="Arial"/>
              <w:shd w:val="clear" w:color="auto" w:fill="FFFFFF"/>
              <w:lang w:bidi="ar"/>
            </w:rPr>
            <w:t>《广州市综合交通体系规划（2023-2035年）》提出</w:t>
          </w:r>
          <w:r>
            <w:rPr>
              <w:rStyle w:val="30"/>
              <w:rFonts w:hint="eastAsia" w:ascii="仿宋" w:hAnsi="仿宋"/>
            </w:rPr>
            <w:t>高水平建成国际性综合交通枢纽城市</w:t>
          </w:r>
          <w:r>
            <w:rPr>
              <w:rFonts w:hint="eastAsia"/>
            </w:rPr>
            <w:tab/>
          </w:r>
          <w:r>
            <w:rPr>
              <w:rFonts w:hint="eastAsia"/>
            </w:rPr>
            <w:fldChar w:fldCharType="begin"/>
          </w:r>
          <w:r>
            <w:rPr>
              <w:rFonts w:hint="eastAsia"/>
            </w:rPr>
            <w:instrText xml:space="preserve"> </w:instrText>
          </w:r>
          <w:r>
            <w:instrText xml:space="preserve">PAGEREF _Toc184843545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04B18E5E">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"_Toc184843546" </w:instrText>
          </w:r>
          <w:r>
            <w:fldChar w:fldCharType="separate"/>
          </w:r>
          <w:r>
            <w:rPr>
              <w:rStyle w:val="30"/>
              <w:rFonts w:hint="eastAsia" w:ascii="仿宋" w:hAnsi="仿宋" w:cs="Arial"/>
              <w:lang w:bidi="ar"/>
            </w:rPr>
            <w:t>5.</w:t>
          </w:r>
          <w:r>
            <w:rPr>
              <w:rFonts w:hint="eastAsia" w:cstheme="minorBidi"/>
              <w:kern w:val="2"/>
              <w:sz w:val="21"/>
              <w14:ligatures w14:val="standardContextual"/>
            </w:rPr>
            <w:tab/>
          </w:r>
          <w:r>
            <w:rPr>
              <w:rStyle w:val="30"/>
              <w:rFonts w:hint="eastAsia" w:ascii="仿宋" w:hAnsi="仿宋" w:cs="Arial"/>
              <w:shd w:val="clear" w:color="auto" w:fill="FFFFFF"/>
              <w:lang w:bidi="ar"/>
            </w:rPr>
            <w:t>《连云港市国土空间综合交通规划（2021-2035）》批前公示</w:t>
          </w:r>
          <w:r>
            <w:rPr>
              <w:rFonts w:hint="eastAsia"/>
            </w:rPr>
            <w:tab/>
          </w:r>
          <w:r>
            <w:rPr>
              <w:rFonts w:hint="eastAsia"/>
            </w:rPr>
            <w:fldChar w:fldCharType="begin"/>
          </w:r>
          <w:r>
            <w:rPr>
              <w:rFonts w:hint="eastAsia"/>
            </w:rPr>
            <w:instrText xml:space="preserve"> </w:instrText>
          </w:r>
          <w:r>
            <w:instrText xml:space="preserve">PAGEREF _Toc184843546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2AAF70DC">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"_Toc184843547" </w:instrText>
          </w:r>
          <w:r>
            <w:fldChar w:fldCharType="separate"/>
          </w:r>
          <w:r>
            <w:rPr>
              <w:rStyle w:val="30"/>
              <w:rFonts w:hint="eastAsia" w:ascii="仿宋" w:hAnsi="仿宋" w:cs="Arial"/>
              <w:lang w:bidi="ar"/>
            </w:rPr>
            <w:t>6.</w:t>
          </w:r>
          <w:r>
            <w:rPr>
              <w:rFonts w:hint="eastAsia" w:cstheme="minorBidi"/>
              <w:kern w:val="2"/>
              <w:sz w:val="21"/>
              <w14:ligatures w14:val="standardContextual"/>
            </w:rPr>
            <w:tab/>
          </w:r>
          <w:r>
            <w:rPr>
              <w:rStyle w:val="30"/>
              <w:rFonts w:hint="eastAsia" w:ascii="仿宋" w:hAnsi="仿宋" w:cs="Arial"/>
              <w:shd w:val="clear" w:color="auto" w:fill="FFFFFF"/>
              <w:lang w:bidi="ar"/>
            </w:rPr>
            <w:t>《青岛市综合交通体系规划(2021—2035年)》批前公示，全面推进TOD开发模式</w:t>
          </w:r>
          <w:r>
            <w:rPr>
              <w:rFonts w:hint="eastAsia"/>
            </w:rPr>
            <w:tab/>
          </w:r>
          <w:r>
            <w:rPr>
              <w:rFonts w:hint="eastAsia"/>
            </w:rPr>
            <w:fldChar w:fldCharType="begin"/>
          </w:r>
          <w:r>
            <w:rPr>
              <w:rFonts w:hint="eastAsia"/>
            </w:rPr>
            <w:instrText xml:space="preserve"> </w:instrText>
          </w:r>
          <w:r>
            <w:instrText xml:space="preserve">PAGEREF _Toc184843547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2789710E">
          <w:pPr>
            <w:pStyle w:val="17"/>
            <w:tabs>
              <w:tab w:val="right" w:leader="dot" w:pos="8296"/>
            </w:tabs>
            <w:rPr>
              <w:rFonts w:hint="eastAsia" w:cstheme="minorBidi"/>
              <w:kern w:val="2"/>
              <w:sz w:val="21"/>
              <w14:ligatures w14:val="standardContextual"/>
            </w:rPr>
          </w:pPr>
          <w:r>
            <w:fldChar w:fldCharType="begin"/>
          </w:r>
          <w:r>
            <w:instrText xml:space="preserve"> HYPERLINK \l "_Toc184843548" </w:instrText>
          </w:r>
          <w:r>
            <w:fldChar w:fldCharType="separate"/>
          </w:r>
          <w:r>
            <w:rPr>
              <w:rStyle w:val="30"/>
              <w:rFonts w:hint="eastAsia" w:ascii="黑体" w:hAnsi="黑体" w:eastAsia="黑体"/>
              <w:kern w:val="44"/>
            </w:rPr>
            <w:t>二、行业动态</w:t>
          </w:r>
          <w:r>
            <w:rPr>
              <w:rFonts w:hint="eastAsia"/>
            </w:rPr>
            <w:tab/>
          </w:r>
          <w:r>
            <w:rPr>
              <w:rFonts w:hint="eastAsia"/>
            </w:rPr>
            <w:fldChar w:fldCharType="begin"/>
          </w:r>
          <w:r>
            <w:rPr>
              <w:rFonts w:hint="eastAsia"/>
            </w:rPr>
            <w:instrText xml:space="preserve"> </w:instrText>
          </w:r>
          <w:r>
            <w:instrText xml:space="preserve">PAGEREF _Toc184843548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5EC2E45A">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"_Toc184843549" </w:instrText>
          </w:r>
          <w:r>
            <w:fldChar w:fldCharType="separate"/>
          </w:r>
          <w:r>
            <w:rPr>
              <w:rStyle w:val="30"/>
              <w:rFonts w:hint="eastAsia" w:ascii="仿宋" w:hAnsi="仿宋" w:cs="Arial"/>
              <w:lang w:bidi="ar"/>
            </w:rPr>
            <w:t>1.</w:t>
          </w:r>
          <w:r>
            <w:rPr>
              <w:rFonts w:hint="eastAsia" w:cstheme="minorBidi"/>
              <w:kern w:val="2"/>
              <w:sz w:val="21"/>
              <w14:ligatures w14:val="standardContextual"/>
            </w:rPr>
            <w:tab/>
          </w:r>
          <w:r>
            <w:rPr>
              <w:rStyle w:val="30"/>
              <w:rFonts w:hint="eastAsia" w:ascii="仿宋" w:hAnsi="仿宋" w:cs="Arial"/>
              <w:shd w:val="clear" w:color="auto" w:fill="FFFFFF"/>
              <w:lang w:bidi="ar"/>
            </w:rPr>
            <w:t>上海推介12号线洞泾停车场上盖综合开发和马东动车所上盖综合开发项目</w:t>
          </w:r>
          <w:r>
            <w:rPr>
              <w:rFonts w:hint="eastAsia"/>
            </w:rPr>
            <w:tab/>
          </w:r>
          <w:r>
            <w:rPr>
              <w:rFonts w:hint="eastAsia"/>
            </w:rPr>
            <w:fldChar w:fldCharType="begin"/>
          </w:r>
          <w:r>
            <w:rPr>
              <w:rFonts w:hint="eastAsia"/>
            </w:rPr>
            <w:instrText xml:space="preserve"> </w:instrText>
          </w:r>
          <w:r>
            <w:instrText xml:space="preserve">PAGEREF _Toc184843549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75BF285C">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"_Toc184843550" </w:instrText>
          </w:r>
          <w:r>
            <w:fldChar w:fldCharType="separate"/>
          </w:r>
          <w:r>
            <w:rPr>
              <w:rStyle w:val="30"/>
              <w:rFonts w:hint="eastAsia" w:ascii="仿宋" w:hAnsi="仿宋" w:cs="Arial"/>
              <w:lang w:bidi="ar"/>
            </w:rPr>
            <w:t>2.</w:t>
          </w:r>
          <w:r>
            <w:rPr>
              <w:rFonts w:hint="eastAsia" w:cstheme="minorBidi"/>
              <w:kern w:val="2"/>
              <w:sz w:val="21"/>
              <w14:ligatures w14:val="standardContextual"/>
            </w:rPr>
            <w:tab/>
          </w:r>
          <w:r>
            <w:rPr>
              <w:rStyle w:val="30"/>
              <w:rFonts w:hint="eastAsia" w:ascii="仿宋" w:hAnsi="仿宋" w:cs="Arial"/>
              <w:shd w:val="clear" w:color="auto" w:fill="FFFFFF"/>
              <w:lang w:bidi="ar"/>
            </w:rPr>
            <w:t>上海市惠南地铁站综合体地块控制性详细规划方案出炉</w:t>
          </w:r>
          <w:r>
            <w:rPr>
              <w:rFonts w:hint="eastAsia"/>
            </w:rPr>
            <w:tab/>
          </w:r>
          <w:r>
            <w:rPr>
              <w:rFonts w:hint="eastAsia"/>
            </w:rPr>
            <w:fldChar w:fldCharType="begin"/>
          </w:r>
          <w:r>
            <w:rPr>
              <w:rFonts w:hint="eastAsia"/>
            </w:rPr>
            <w:instrText xml:space="preserve"> </w:instrText>
          </w:r>
          <w:r>
            <w:instrText xml:space="preserve">PAGEREF _Toc184843550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417C3F31">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"_Toc184843551" </w:instrText>
          </w:r>
          <w:r>
            <w:fldChar w:fldCharType="separate"/>
          </w:r>
          <w:r>
            <w:rPr>
              <w:rStyle w:val="30"/>
              <w:rFonts w:hint="eastAsia" w:ascii="仿宋" w:hAnsi="仿宋" w:cs="Arial"/>
              <w:lang w:bidi="ar"/>
            </w:rPr>
            <w:t>3.</w:t>
          </w:r>
          <w:r>
            <w:rPr>
              <w:rFonts w:hint="eastAsia" w:cstheme="minorBidi"/>
              <w:kern w:val="2"/>
              <w:sz w:val="21"/>
              <w14:ligatures w14:val="standardContextual"/>
            </w:rPr>
            <w:tab/>
          </w:r>
          <w:r>
            <w:rPr>
              <w:rStyle w:val="30"/>
              <w:rFonts w:hint="eastAsia" w:ascii="仿宋" w:hAnsi="仿宋" w:cs="Arial"/>
              <w:shd w:val="clear" w:color="auto" w:fill="FFFFFF"/>
              <w:lang w:bidi="ar"/>
            </w:rPr>
            <w:t>温州东枢纽站城综合体概念方案征集专家评审会顺利召开</w:t>
          </w:r>
          <w:r>
            <w:rPr>
              <w:rFonts w:hint="eastAsia"/>
            </w:rPr>
            <w:tab/>
          </w:r>
          <w:r>
            <w:rPr>
              <w:rFonts w:hint="eastAsia"/>
            </w:rPr>
            <w:fldChar w:fldCharType="begin"/>
          </w:r>
          <w:r>
            <w:rPr>
              <w:rFonts w:hint="eastAsia"/>
            </w:rPr>
            <w:instrText xml:space="preserve"> </w:instrText>
          </w:r>
          <w:r>
            <w:instrText xml:space="preserve">PAGEREF _Toc184843551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569118AF">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"_Toc184843552" </w:instrText>
          </w:r>
          <w:r>
            <w:fldChar w:fldCharType="separate"/>
          </w:r>
          <w:r>
            <w:rPr>
              <w:rStyle w:val="30"/>
              <w:rFonts w:hint="eastAsia" w:ascii="仿宋" w:hAnsi="仿宋" w:cs="Arial"/>
              <w:lang w:bidi="ar"/>
            </w:rPr>
            <w:t>4.</w:t>
          </w:r>
          <w:r>
            <w:rPr>
              <w:rFonts w:hint="eastAsia" w:cstheme="minorBidi"/>
              <w:kern w:val="2"/>
              <w:sz w:val="21"/>
              <w14:ligatures w14:val="standardContextual"/>
            </w:rPr>
            <w:tab/>
          </w:r>
          <w:r>
            <w:rPr>
              <w:rStyle w:val="30"/>
              <w:rFonts w:hint="eastAsia" w:ascii="仿宋" w:hAnsi="仿宋" w:cs="Arial"/>
              <w:shd w:val="clear" w:color="auto" w:fill="FFFFFF"/>
              <w:lang w:bidi="ar"/>
            </w:rPr>
            <w:t>截至2024年10月54个城市城轨交通运营里程达10455公里</w:t>
          </w:r>
          <w:r>
            <w:rPr>
              <w:rFonts w:hint="eastAsia"/>
            </w:rPr>
            <w:tab/>
          </w:r>
          <w:r>
            <w:rPr>
              <w:rFonts w:hint="eastAsia"/>
            </w:rPr>
            <w:fldChar w:fldCharType="begin"/>
          </w:r>
          <w:r>
            <w:rPr>
              <w:rFonts w:hint="eastAsia"/>
            </w:rPr>
            <w:instrText xml:space="preserve"> </w:instrText>
          </w:r>
          <w:r>
            <w:instrText xml:space="preserve">PAGEREF _Toc184843552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176CE245">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"_Toc184843553" </w:instrText>
          </w:r>
          <w:r>
            <w:fldChar w:fldCharType="separate"/>
          </w:r>
          <w:r>
            <w:rPr>
              <w:rStyle w:val="30"/>
              <w:rFonts w:hint="eastAsia" w:ascii="仿宋" w:hAnsi="仿宋" w:cs="Arial"/>
              <w:lang w:bidi="ar"/>
            </w:rPr>
            <w:t>5.</w:t>
          </w:r>
          <w:r>
            <w:rPr>
              <w:rFonts w:hint="eastAsia" w:cstheme="minorBidi"/>
              <w:kern w:val="2"/>
              <w:sz w:val="21"/>
              <w14:ligatures w14:val="standardContextual"/>
            </w:rPr>
            <w:tab/>
          </w:r>
          <w:r>
            <w:rPr>
              <w:rStyle w:val="30"/>
              <w:rFonts w:hint="eastAsia" w:ascii="仿宋" w:hAnsi="仿宋" w:cs="Arial"/>
              <w:shd w:val="clear" w:color="auto" w:fill="FFFFFF"/>
              <w:lang w:bidi="ar"/>
            </w:rPr>
            <w:t>昆明轨道交通地下预留空间规划商业开发，充分挖掘地下空间资源潜力</w:t>
          </w:r>
          <w:r>
            <w:rPr>
              <w:rFonts w:hint="eastAsia"/>
            </w:rPr>
            <w:tab/>
          </w:r>
          <w:r>
            <w:rPr>
              <w:rFonts w:hint="eastAsia"/>
            </w:rPr>
            <w:fldChar w:fldCharType="begin"/>
          </w:r>
          <w:r>
            <w:rPr>
              <w:rFonts w:hint="eastAsia"/>
            </w:rPr>
            <w:instrText xml:space="preserve"> </w:instrText>
          </w:r>
          <w:r>
            <w:instrText xml:space="preserve">PAGEREF _Toc184843553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47312BBC">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"_Toc184843554" </w:instrText>
          </w:r>
          <w:r>
            <w:fldChar w:fldCharType="separate"/>
          </w:r>
          <w:r>
            <w:rPr>
              <w:rStyle w:val="30"/>
              <w:rFonts w:hint="eastAsia" w:ascii="仿宋" w:hAnsi="仿宋" w:cs="Arial"/>
              <w:lang w:bidi="ar"/>
            </w:rPr>
            <w:t>6.</w:t>
          </w:r>
          <w:r>
            <w:rPr>
              <w:rFonts w:hint="eastAsia" w:cstheme="minorBidi"/>
              <w:kern w:val="2"/>
              <w:sz w:val="21"/>
              <w14:ligatures w14:val="standardContextual"/>
            </w:rPr>
            <w:tab/>
          </w:r>
          <w:r>
            <w:rPr>
              <w:rStyle w:val="30"/>
              <w:rFonts w:hint="eastAsia" w:ascii="仿宋" w:hAnsi="仿宋" w:cs="Arial"/>
              <w:shd w:val="clear" w:color="auto" w:fill="FFFFFF"/>
              <w:lang w:bidi="ar"/>
            </w:rPr>
            <w:t>广州市交规院取得基于客流效益和土地价值的站点功能级配优化方法专利</w:t>
          </w:r>
          <w:r>
            <w:rPr>
              <w:rFonts w:hint="eastAsia"/>
            </w:rPr>
            <w:tab/>
          </w:r>
          <w:r>
            <w:rPr>
              <w:rFonts w:hint="eastAsia"/>
            </w:rPr>
            <w:fldChar w:fldCharType="begin"/>
          </w:r>
          <w:r>
            <w:rPr>
              <w:rFonts w:hint="eastAsia"/>
            </w:rPr>
            <w:instrText xml:space="preserve"> </w:instrText>
          </w:r>
          <w:r>
            <w:instrText xml:space="preserve">PAGEREF _Toc184843554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4467ADC1">
          <w:pPr>
            <w:pStyle w:val="17"/>
            <w:tabs>
              <w:tab w:val="right" w:leader="dot" w:pos="8296"/>
            </w:tabs>
            <w:rPr>
              <w:rFonts w:hint="eastAsia" w:cstheme="minorBidi"/>
              <w:kern w:val="2"/>
              <w:sz w:val="21"/>
              <w14:ligatures w14:val="standardContextual"/>
            </w:rPr>
          </w:pPr>
          <w:r>
            <w:fldChar w:fldCharType="begin"/>
          </w:r>
          <w:r>
            <w:instrText xml:space="preserve"> HYPERLINK \l "_Toc184843555" </w:instrText>
          </w:r>
          <w:r>
            <w:fldChar w:fldCharType="separate"/>
          </w:r>
          <w:r>
            <w:rPr>
              <w:rStyle w:val="30"/>
              <w:rFonts w:hint="eastAsia" w:ascii="黑体" w:hAnsi="黑体" w:eastAsia="黑体"/>
              <w:kern w:val="44"/>
            </w:rPr>
            <w:t>三、企业动态</w:t>
          </w:r>
          <w:r>
            <w:rPr>
              <w:rFonts w:hint="eastAsia"/>
            </w:rPr>
            <w:tab/>
          </w:r>
          <w:r>
            <w:rPr>
              <w:rFonts w:hint="eastAsia"/>
            </w:rPr>
            <w:fldChar w:fldCharType="begin"/>
          </w:r>
          <w:r>
            <w:rPr>
              <w:rFonts w:hint="eastAsia"/>
            </w:rPr>
            <w:instrText xml:space="preserve"> </w:instrText>
          </w:r>
          <w:r>
            <w:instrText xml:space="preserve">PAGEREF _Toc184843555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58819283">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"_Toc184843556" </w:instrText>
          </w:r>
          <w:r>
            <w:fldChar w:fldCharType="separate"/>
          </w:r>
          <w:r>
            <w:rPr>
              <w:rStyle w:val="30"/>
              <w:rFonts w:hint="eastAsia" w:ascii="仿宋" w:hAnsi="仿宋"/>
              <w:lang w:bidi="ar"/>
            </w:rPr>
            <w:t>1.</w:t>
          </w:r>
          <w:r>
            <w:rPr>
              <w:rFonts w:hint="eastAsia" w:cstheme="minorBidi"/>
              <w:kern w:val="2"/>
              <w:sz w:val="21"/>
              <w14:ligatures w14:val="standardContextual"/>
            </w:rPr>
            <w:tab/>
          </w:r>
          <w:r>
            <w:rPr>
              <w:rStyle w:val="30"/>
              <w:rFonts w:hint="eastAsia" w:ascii="仿宋" w:hAnsi="仿宋"/>
              <w:shd w:val="clear" w:color="auto" w:fill="FFFFFF"/>
              <w:lang w:bidi="ar"/>
            </w:rPr>
            <w:t>11月TOD土地成交2幅，厦门轨道和福州地铁各底价竞得一幅地块</w:t>
          </w:r>
          <w:r>
            <w:rPr>
              <w:rFonts w:hint="eastAsia"/>
            </w:rPr>
            <w:tab/>
          </w:r>
          <w:r>
            <w:rPr>
              <w:rFonts w:hint="eastAsia"/>
            </w:rPr>
            <w:fldChar w:fldCharType="begin"/>
          </w:r>
          <w:r>
            <w:rPr>
              <w:rFonts w:hint="eastAsia"/>
            </w:rPr>
            <w:instrText xml:space="preserve"> </w:instrText>
          </w:r>
          <w:r>
            <w:instrText xml:space="preserve">PAGEREF _Toc184843556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7DDE9DC7">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"_Toc184843557" </w:instrText>
          </w:r>
          <w:r>
            <w:fldChar w:fldCharType="separate"/>
          </w:r>
          <w:r>
            <w:rPr>
              <w:rStyle w:val="30"/>
              <w:rFonts w:hint="eastAsia" w:ascii="仿宋" w:hAnsi="仿宋" w:cs="Arial"/>
              <w:lang w:bidi="ar"/>
            </w:rPr>
            <w:t>2.</w:t>
          </w:r>
          <w:r>
            <w:rPr>
              <w:rFonts w:hint="eastAsia" w:cstheme="minorBidi"/>
              <w:kern w:val="2"/>
              <w:sz w:val="21"/>
              <w14:ligatures w14:val="standardContextual"/>
            </w:rPr>
            <w:tab/>
          </w:r>
          <w:r>
            <w:rPr>
              <w:rStyle w:val="30"/>
              <w:rFonts w:hint="eastAsia" w:ascii="仿宋" w:hAnsi="仿宋" w:cs="Arial"/>
              <w:shd w:val="clear" w:color="auto" w:fill="FFFFFF"/>
              <w:lang w:bidi="ar"/>
            </w:rPr>
            <w:t>王府井集团首次落子浙江——绍兴柯桥TOD项目签约</w:t>
          </w:r>
          <w:r>
            <w:rPr>
              <w:rFonts w:hint="eastAsia"/>
            </w:rPr>
            <w:tab/>
          </w:r>
          <w:r>
            <w:rPr>
              <w:rFonts w:hint="eastAsia"/>
            </w:rPr>
            <w:fldChar w:fldCharType="begin"/>
          </w:r>
          <w:r>
            <w:rPr>
              <w:rFonts w:hint="eastAsia"/>
            </w:rPr>
            <w:instrText xml:space="preserve"> </w:instrText>
          </w:r>
          <w:r>
            <w:instrText xml:space="preserve">PAGEREF _Toc184843557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6057D49A">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"_Toc184843558" </w:instrText>
          </w:r>
          <w:r>
            <w:fldChar w:fldCharType="separate"/>
          </w:r>
          <w:r>
            <w:rPr>
              <w:rStyle w:val="30"/>
              <w:rFonts w:hint="eastAsia" w:ascii="仿宋" w:hAnsi="仿宋" w:cs="Arial"/>
              <w:lang w:bidi="ar"/>
            </w:rPr>
            <w:t>3.</w:t>
          </w:r>
          <w:r>
            <w:rPr>
              <w:rFonts w:hint="eastAsia" w:cstheme="minorBidi"/>
              <w:kern w:val="2"/>
              <w:sz w:val="21"/>
              <w14:ligatures w14:val="standardContextual"/>
            </w:rPr>
            <w:tab/>
          </w:r>
          <w:r>
            <w:rPr>
              <w:rStyle w:val="30"/>
              <w:rFonts w:hint="eastAsia" w:ascii="仿宋" w:hAnsi="仿宋" w:cs="Arial"/>
              <w:shd w:val="clear" w:color="auto" w:fill="FFFFFF"/>
              <w:lang w:bidi="ar"/>
            </w:rPr>
            <w:t>河南铁建投综合开发集团与洲际酒店集团举行合作签约仪式</w:t>
          </w:r>
          <w:r>
            <w:rPr>
              <w:rFonts w:hint="eastAsia"/>
            </w:rPr>
            <w:tab/>
          </w:r>
          <w:r>
            <w:rPr>
              <w:rFonts w:hint="eastAsia"/>
            </w:rPr>
            <w:fldChar w:fldCharType="begin"/>
          </w:r>
          <w:r>
            <w:rPr>
              <w:rFonts w:hint="eastAsia"/>
            </w:rPr>
            <w:instrText xml:space="preserve"> </w:instrText>
          </w:r>
          <w:r>
            <w:instrText xml:space="preserve">PAGEREF _Toc184843558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2483F4C9">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"_Toc184843559" </w:instrText>
          </w:r>
          <w:r>
            <w:fldChar w:fldCharType="separate"/>
          </w:r>
          <w:r>
            <w:rPr>
              <w:rStyle w:val="30"/>
              <w:rFonts w:hint="eastAsia" w:ascii="仿宋" w:hAnsi="仿宋" w:cs="Arial"/>
              <w:lang w:bidi="ar"/>
            </w:rPr>
            <w:t>4.</w:t>
          </w:r>
          <w:r>
            <w:rPr>
              <w:rFonts w:hint="eastAsia" w:cstheme="minorBidi"/>
              <w:kern w:val="2"/>
              <w:sz w:val="21"/>
              <w14:ligatures w14:val="standardContextual"/>
            </w:rPr>
            <w:tab/>
          </w:r>
          <w:r>
            <w:rPr>
              <w:rStyle w:val="30"/>
              <w:rFonts w:hint="eastAsia" w:ascii="仿宋" w:hAnsi="仿宋" w:cs="Arial"/>
              <w:shd w:val="clear" w:color="auto" w:fill="FFFFFF"/>
              <w:lang w:bidi="ar"/>
            </w:rPr>
            <w:t>深铁优质商业联席推介会召开，现场签约超6亿元</w:t>
          </w:r>
          <w:r>
            <w:rPr>
              <w:rFonts w:hint="eastAsia"/>
            </w:rPr>
            <w:tab/>
          </w:r>
          <w:r>
            <w:rPr>
              <w:rFonts w:hint="eastAsia"/>
            </w:rPr>
            <w:fldChar w:fldCharType="begin"/>
          </w:r>
          <w:r>
            <w:rPr>
              <w:rFonts w:hint="eastAsia"/>
            </w:rPr>
            <w:instrText xml:space="preserve"> </w:instrText>
          </w:r>
          <w:r>
            <w:instrText xml:space="preserve">PAGEREF _Toc184843559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75527884">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"_Toc184843560" </w:instrText>
          </w:r>
          <w:r>
            <w:fldChar w:fldCharType="separate"/>
          </w:r>
          <w:r>
            <w:rPr>
              <w:rStyle w:val="30"/>
              <w:rFonts w:hint="eastAsia" w:ascii="仿宋" w:hAnsi="仿宋" w:cs="Arial"/>
              <w:lang w:bidi="ar"/>
            </w:rPr>
            <w:t>5.</w:t>
          </w:r>
          <w:r>
            <w:rPr>
              <w:rFonts w:hint="eastAsia" w:cstheme="minorBidi"/>
              <w:kern w:val="2"/>
              <w:sz w:val="21"/>
              <w14:ligatures w14:val="standardContextual"/>
            </w:rPr>
            <w:tab/>
          </w:r>
          <w:r>
            <w:rPr>
              <w:rStyle w:val="30"/>
              <w:rFonts w:hint="eastAsia" w:ascii="仿宋" w:hAnsi="仿宋" w:cs="Arial"/>
              <w:shd w:val="clear" w:color="auto" w:fill="FFFFFF"/>
              <w:lang w:bidi="ar"/>
            </w:rPr>
            <w:t>华侨城盘活武汉TOD项目地块</w:t>
          </w:r>
          <w:r>
            <w:rPr>
              <w:rFonts w:hint="eastAsia"/>
            </w:rPr>
            <w:tab/>
          </w:r>
          <w:r>
            <w:rPr>
              <w:rFonts w:hint="eastAsia"/>
            </w:rPr>
            <w:fldChar w:fldCharType="begin"/>
          </w:r>
          <w:r>
            <w:rPr>
              <w:rFonts w:hint="eastAsia"/>
            </w:rPr>
            <w:instrText xml:space="preserve"> </w:instrText>
          </w:r>
          <w:r>
            <w:instrText xml:space="preserve">PAGEREF _Toc184843560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77E65450">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"_Toc184843561" </w:instrText>
          </w:r>
          <w:r>
            <w:fldChar w:fldCharType="separate"/>
          </w:r>
          <w:r>
            <w:rPr>
              <w:rStyle w:val="30"/>
              <w:rFonts w:hint="eastAsia" w:ascii="仿宋" w:hAnsi="仿宋" w:cs="Arial"/>
              <w:lang w:bidi="ar"/>
            </w:rPr>
            <w:t>6.</w:t>
          </w:r>
          <w:r>
            <w:rPr>
              <w:rFonts w:hint="eastAsia" w:cstheme="minorBidi"/>
              <w:kern w:val="2"/>
              <w:sz w:val="21"/>
              <w14:ligatures w14:val="standardContextual"/>
            </w:rPr>
            <w:tab/>
          </w:r>
          <w:r>
            <w:rPr>
              <w:rStyle w:val="30"/>
              <w:rFonts w:hint="eastAsia" w:ascii="仿宋" w:hAnsi="仿宋" w:cs="Arial"/>
              <w:shd w:val="clear" w:color="auto" w:fill="FFFFFF"/>
              <w:lang w:bidi="ar"/>
            </w:rPr>
            <w:t>华润置地发布上海中环沿线新布局</w:t>
          </w:r>
          <w:r>
            <w:rPr>
              <w:rFonts w:hint="eastAsia"/>
            </w:rPr>
            <w:tab/>
          </w:r>
          <w:r>
            <w:rPr>
              <w:rFonts w:hint="eastAsia"/>
            </w:rPr>
            <w:fldChar w:fldCharType="begin"/>
          </w:r>
          <w:r>
            <w:rPr>
              <w:rFonts w:hint="eastAsia"/>
            </w:rPr>
            <w:instrText xml:space="preserve"> </w:instrText>
          </w:r>
          <w:r>
            <w:instrText xml:space="preserve">PAGEREF _Toc184843561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5A3D84B6">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"_Toc184843562" </w:instrText>
          </w:r>
          <w:r>
            <w:fldChar w:fldCharType="separate"/>
          </w:r>
          <w:r>
            <w:rPr>
              <w:rStyle w:val="30"/>
              <w:rFonts w:hint="eastAsia" w:ascii="仿宋" w:hAnsi="仿宋" w:cs="Arial"/>
              <w:lang w:bidi="ar"/>
            </w:rPr>
            <w:t>7.</w:t>
          </w:r>
          <w:r>
            <w:rPr>
              <w:rFonts w:hint="eastAsia" w:cstheme="minorBidi"/>
              <w:kern w:val="2"/>
              <w:sz w:val="21"/>
              <w14:ligatures w14:val="standardContextual"/>
            </w:rPr>
            <w:tab/>
          </w:r>
          <w:r>
            <w:rPr>
              <w:rStyle w:val="30"/>
              <w:rFonts w:hint="eastAsia" w:ascii="仿宋" w:hAnsi="仿宋" w:cs="Arial"/>
              <w:shd w:val="clear" w:color="auto" w:fill="FFFFFF"/>
              <w:lang w:bidi="ar"/>
            </w:rPr>
            <w:t>绿城管理与港珠澳未来城合作签约仪式举行</w:t>
          </w:r>
          <w:r>
            <w:rPr>
              <w:rFonts w:hint="eastAsia"/>
            </w:rPr>
            <w:tab/>
          </w:r>
          <w:r>
            <w:rPr>
              <w:rFonts w:hint="eastAsia"/>
            </w:rPr>
            <w:fldChar w:fldCharType="begin"/>
          </w:r>
          <w:r>
            <w:rPr>
              <w:rFonts w:hint="eastAsia"/>
            </w:rPr>
            <w:instrText xml:space="preserve"> </w:instrText>
          </w:r>
          <w:r>
            <w:instrText xml:space="preserve">PAGEREF _Toc184843562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05191981">
          <w:pPr>
            <w:pStyle w:val="17"/>
            <w:tabs>
              <w:tab w:val="right" w:leader="dot" w:pos="8296"/>
            </w:tabs>
            <w:rPr>
              <w:rFonts w:hint="eastAsia" w:cstheme="minorBidi"/>
              <w:kern w:val="2"/>
              <w:sz w:val="21"/>
              <w14:ligatures w14:val="standardContextual"/>
            </w:rPr>
          </w:pPr>
          <w:r>
            <w:fldChar w:fldCharType="begin"/>
          </w:r>
          <w:r>
            <w:instrText xml:space="preserve"> HYPERLINK \l "_Toc184843563" </w:instrText>
          </w:r>
          <w:r>
            <w:fldChar w:fldCharType="separate"/>
          </w:r>
          <w:r>
            <w:rPr>
              <w:rStyle w:val="30"/>
              <w:rFonts w:hint="eastAsia" w:ascii="黑体" w:hAnsi="黑体" w:eastAsia="黑体"/>
              <w:kern w:val="44"/>
            </w:rPr>
            <w:t>四、项目动态</w:t>
          </w:r>
          <w:r>
            <w:rPr>
              <w:rFonts w:hint="eastAsia"/>
            </w:rPr>
            <w:tab/>
          </w:r>
          <w:r>
            <w:rPr>
              <w:rFonts w:hint="eastAsia"/>
            </w:rPr>
            <w:fldChar w:fldCharType="begin"/>
          </w:r>
          <w:r>
            <w:rPr>
              <w:rFonts w:hint="eastAsia"/>
            </w:rPr>
            <w:instrText xml:space="preserve"> </w:instrText>
          </w:r>
          <w:r>
            <w:instrText xml:space="preserve">PAGEREF _Toc184843563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2EF4261B">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"_Toc184843564" </w:instrText>
          </w:r>
          <w:r>
            <w:fldChar w:fldCharType="separate"/>
          </w:r>
          <w:r>
            <w:rPr>
              <w:rStyle w:val="30"/>
              <w:rFonts w:hint="eastAsia" w:ascii="仿宋" w:hAnsi="仿宋" w:cs="Arial"/>
              <w:lang w:bidi="ar"/>
            </w:rPr>
            <w:t>1.</w:t>
          </w:r>
          <w:r>
            <w:rPr>
              <w:rFonts w:hint="eastAsia" w:cstheme="minorBidi"/>
              <w:kern w:val="2"/>
              <w:sz w:val="21"/>
              <w14:ligatures w14:val="standardContextual"/>
            </w:rPr>
            <w:tab/>
          </w:r>
          <w:r>
            <w:rPr>
              <w:rStyle w:val="30"/>
              <w:rFonts w:hint="eastAsia" w:ascii="仿宋" w:hAnsi="仿宋" w:cs="Arial"/>
              <w:shd w:val="clear" w:color="auto" w:fill="FFFFFF"/>
              <w:lang w:bidi="ar"/>
            </w:rPr>
            <w:t>杭州西站枢纽入选“中国式现代化的浙江探索与实践优秀案例”</w:t>
          </w:r>
          <w:r>
            <w:rPr>
              <w:rFonts w:hint="eastAsia"/>
            </w:rPr>
            <w:tab/>
          </w:r>
          <w:r>
            <w:rPr>
              <w:rFonts w:hint="eastAsia"/>
            </w:rPr>
            <w:fldChar w:fldCharType="begin"/>
          </w:r>
          <w:r>
            <w:rPr>
              <w:rFonts w:hint="eastAsia"/>
            </w:rPr>
            <w:instrText xml:space="preserve"> </w:instrText>
          </w:r>
          <w:r>
            <w:instrText xml:space="preserve">PAGEREF _Toc184843564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6766B525">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"_Toc184843565" </w:instrText>
          </w:r>
          <w:r>
            <w:fldChar w:fldCharType="separate"/>
          </w:r>
          <w:r>
            <w:rPr>
              <w:rStyle w:val="30"/>
              <w:rFonts w:hint="eastAsia" w:ascii="仿宋" w:hAnsi="仿宋" w:cs="Arial"/>
              <w:lang w:bidi="ar"/>
            </w:rPr>
            <w:t>2.</w:t>
          </w:r>
          <w:r>
            <w:rPr>
              <w:rFonts w:hint="eastAsia" w:cstheme="minorBidi"/>
              <w:kern w:val="2"/>
              <w:sz w:val="21"/>
              <w14:ligatures w14:val="standardContextual"/>
            </w:rPr>
            <w:tab/>
          </w:r>
          <w:r>
            <w:rPr>
              <w:rStyle w:val="30"/>
              <w:rFonts w:hint="eastAsia" w:ascii="仿宋" w:hAnsi="仿宋" w:cs="Arial"/>
              <w:shd w:val="clear" w:color="auto" w:fill="FFFFFF"/>
              <w:lang w:bidi="ar"/>
            </w:rPr>
            <w:t>上海地铁1和5号线莘庄站将启动功能提升车站改造</w:t>
          </w:r>
          <w:r>
            <w:rPr>
              <w:rFonts w:hint="eastAsia"/>
            </w:rPr>
            <w:tab/>
          </w:r>
          <w:r>
            <w:rPr>
              <w:rFonts w:hint="eastAsia"/>
            </w:rPr>
            <w:fldChar w:fldCharType="begin"/>
          </w:r>
          <w:r>
            <w:rPr>
              <w:rFonts w:hint="eastAsia"/>
            </w:rPr>
            <w:instrText xml:space="preserve"> </w:instrText>
          </w:r>
          <w:r>
            <w:instrText xml:space="preserve">PAGEREF _Toc184843565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6A403663">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"_Toc184843566" </w:instrText>
          </w:r>
          <w:r>
            <w:fldChar w:fldCharType="separate"/>
          </w:r>
          <w:r>
            <w:rPr>
              <w:rStyle w:val="30"/>
              <w:rFonts w:hint="eastAsia" w:ascii="仿宋" w:hAnsi="仿宋" w:cs="Arial"/>
              <w:lang w:bidi="ar"/>
            </w:rPr>
            <w:t>3.</w:t>
          </w:r>
          <w:r>
            <w:rPr>
              <w:rFonts w:hint="eastAsia" w:cstheme="minorBidi"/>
              <w:kern w:val="2"/>
              <w:sz w:val="21"/>
              <w14:ligatures w14:val="standardContextual"/>
            </w:rPr>
            <w:tab/>
          </w:r>
          <w:r>
            <w:rPr>
              <w:rStyle w:val="30"/>
              <w:rFonts w:hint="eastAsia" w:ascii="仿宋" w:hAnsi="仿宋" w:cs="Arial"/>
              <w:shd w:val="clear" w:color="auto" w:fill="FFFFFF"/>
              <w:lang w:bidi="ar"/>
            </w:rPr>
            <w:t>重庆交通开投轨道集团首个TOD保障性租赁住房-海峡路项目获批</w:t>
          </w:r>
          <w:r>
            <w:rPr>
              <w:rFonts w:hint="eastAsia"/>
            </w:rPr>
            <w:tab/>
          </w:r>
          <w:r>
            <w:rPr>
              <w:rFonts w:hint="eastAsia"/>
            </w:rPr>
            <w:fldChar w:fldCharType="begin"/>
          </w:r>
          <w:r>
            <w:rPr>
              <w:rFonts w:hint="eastAsia"/>
            </w:rPr>
            <w:instrText xml:space="preserve"> </w:instrText>
          </w:r>
          <w:r>
            <w:instrText xml:space="preserve">PAGEREF _Toc184843566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3C736E06">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"_Toc184843567" </w:instrText>
          </w:r>
          <w:r>
            <w:fldChar w:fldCharType="separate"/>
          </w:r>
          <w:r>
            <w:rPr>
              <w:rStyle w:val="30"/>
              <w:rFonts w:hint="eastAsia" w:ascii="仿宋" w:hAnsi="仿宋" w:cs="Arial"/>
              <w:lang w:bidi="ar"/>
            </w:rPr>
            <w:t>4.</w:t>
          </w:r>
          <w:r>
            <w:rPr>
              <w:rFonts w:hint="eastAsia" w:cstheme="minorBidi"/>
              <w:kern w:val="2"/>
              <w:sz w:val="21"/>
              <w14:ligatures w14:val="standardContextual"/>
            </w:rPr>
            <w:tab/>
          </w:r>
          <w:r>
            <w:rPr>
              <w:rStyle w:val="30"/>
              <w:rFonts w:hint="eastAsia" w:ascii="仿宋" w:hAnsi="仿宋" w:cs="Arial"/>
              <w:shd w:val="clear" w:color="auto" w:fill="FFFFFF"/>
              <w:lang w:bidi="ar"/>
            </w:rPr>
            <w:t>宁波轨道交通推出首个基于TOD理念的保障性租赁住房项目</w:t>
          </w:r>
          <w:r>
            <w:rPr>
              <w:rFonts w:hint="eastAsia"/>
            </w:rPr>
            <w:tab/>
          </w:r>
          <w:r>
            <w:rPr>
              <w:rFonts w:hint="eastAsia"/>
            </w:rPr>
            <w:fldChar w:fldCharType="begin"/>
          </w:r>
          <w:r>
            <w:rPr>
              <w:rFonts w:hint="eastAsia"/>
            </w:rPr>
            <w:instrText xml:space="preserve"> </w:instrText>
          </w:r>
          <w:r>
            <w:instrText xml:space="preserve">PAGEREF _Toc184843567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3350B1E6">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"_Toc184843568" </w:instrText>
          </w:r>
          <w:r>
            <w:fldChar w:fldCharType="separate"/>
          </w:r>
          <w:r>
            <w:rPr>
              <w:rStyle w:val="30"/>
              <w:rFonts w:hint="eastAsia" w:ascii="仿宋" w:hAnsi="仿宋" w:cs="Arial"/>
              <w:lang w:bidi="ar"/>
            </w:rPr>
            <w:t>5.</w:t>
          </w:r>
          <w:r>
            <w:rPr>
              <w:rFonts w:hint="eastAsia" w:cstheme="minorBidi"/>
              <w:kern w:val="2"/>
              <w:sz w:val="21"/>
              <w14:ligatures w14:val="standardContextual"/>
            </w:rPr>
            <w:tab/>
          </w:r>
          <w:r>
            <w:rPr>
              <w:rStyle w:val="30"/>
              <w:rFonts w:hint="eastAsia" w:ascii="仿宋" w:hAnsi="仿宋" w:cs="Arial"/>
              <w:shd w:val="clear" w:color="auto" w:fill="FFFFFF"/>
              <w:lang w:bidi="ar"/>
            </w:rPr>
            <w:t>南宁市轨道3号线未来方舟项目打造成省首个地铁车辆段上盖超大型TOD</w:t>
          </w:r>
          <w:r>
            <w:rPr>
              <w:rFonts w:hint="eastAsia"/>
            </w:rPr>
            <w:tab/>
          </w:r>
          <w:r>
            <w:rPr>
              <w:rFonts w:hint="eastAsia"/>
            </w:rPr>
            <w:fldChar w:fldCharType="begin"/>
          </w:r>
          <w:r>
            <w:rPr>
              <w:rFonts w:hint="eastAsia"/>
            </w:rPr>
            <w:instrText xml:space="preserve"> </w:instrText>
          </w:r>
          <w:r>
            <w:instrText xml:space="preserve">PAGEREF _Toc184843568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39C5969A">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"_Toc184843569" </w:instrText>
          </w:r>
          <w:r>
            <w:fldChar w:fldCharType="separate"/>
          </w:r>
          <w:r>
            <w:rPr>
              <w:rStyle w:val="30"/>
              <w:rFonts w:hint="eastAsia" w:ascii="仿宋" w:hAnsi="仿宋" w:cs="Arial"/>
              <w:lang w:bidi="ar"/>
            </w:rPr>
            <w:t>6.</w:t>
          </w:r>
          <w:r>
            <w:rPr>
              <w:rFonts w:hint="eastAsia" w:cstheme="minorBidi"/>
              <w:kern w:val="2"/>
              <w:sz w:val="21"/>
              <w14:ligatures w14:val="standardContextual"/>
            </w:rPr>
            <w:tab/>
          </w:r>
          <w:r>
            <w:rPr>
              <w:rStyle w:val="30"/>
              <w:rFonts w:hint="eastAsia" w:ascii="仿宋" w:hAnsi="仿宋" w:cs="Arial"/>
              <w:shd w:val="clear" w:color="auto" w:fill="FFFFFF"/>
              <w:lang w:bidi="ar"/>
            </w:rPr>
            <w:t>杭德市域铁路千秋广场站上盖物业TOD综合开发项目进入主体结构施工阶段</w:t>
          </w:r>
          <w:r>
            <w:rPr>
              <w:rFonts w:hint="eastAsia"/>
            </w:rPr>
            <w:tab/>
          </w:r>
          <w:r>
            <w:rPr>
              <w:rFonts w:hint="eastAsia"/>
            </w:rPr>
            <w:fldChar w:fldCharType="begin"/>
          </w:r>
          <w:r>
            <w:rPr>
              <w:rFonts w:hint="eastAsia"/>
            </w:rPr>
            <w:instrText xml:space="preserve"> </w:instrText>
          </w:r>
          <w:r>
            <w:instrText xml:space="preserve">PAGEREF _Toc184843569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6C2F67D0">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"_Toc184843570" </w:instrText>
          </w:r>
          <w:r>
            <w:fldChar w:fldCharType="separate"/>
          </w:r>
          <w:r>
            <w:rPr>
              <w:rStyle w:val="30"/>
              <w:rFonts w:hint="eastAsia" w:ascii="仿宋" w:hAnsi="仿宋" w:cs="Arial"/>
              <w:lang w:bidi="ar"/>
            </w:rPr>
            <w:t>7.</w:t>
          </w:r>
          <w:r>
            <w:rPr>
              <w:rFonts w:hint="eastAsia" w:cstheme="minorBidi"/>
              <w:kern w:val="2"/>
              <w:sz w:val="21"/>
              <w14:ligatures w14:val="standardContextual"/>
            </w:rPr>
            <w:tab/>
          </w:r>
          <w:r>
            <w:rPr>
              <w:rStyle w:val="30"/>
              <w:rFonts w:hint="eastAsia"/>
              <w:lang w:bidi="ar"/>
            </w:rPr>
            <w:t>天津市</w:t>
          </w:r>
          <w:r>
            <w:rPr>
              <w:rStyle w:val="30"/>
              <w:rFonts w:hint="eastAsia" w:ascii="仿宋" w:hAnsi="仿宋" w:cs="Arial"/>
              <w:shd w:val="clear" w:color="auto" w:fill="FFFFFF"/>
              <w:lang w:bidi="ar"/>
            </w:rPr>
            <w:t>西青区地铁2号线卞兴站周边片区城市更新项目启动</w:t>
          </w:r>
          <w:r>
            <w:rPr>
              <w:rFonts w:hint="eastAsia"/>
            </w:rPr>
            <w:tab/>
          </w:r>
          <w:r>
            <w:rPr>
              <w:rFonts w:hint="eastAsia"/>
            </w:rPr>
            <w:fldChar w:fldCharType="begin"/>
          </w:r>
          <w:r>
            <w:rPr>
              <w:rFonts w:hint="eastAsia"/>
            </w:rPr>
            <w:instrText xml:space="preserve"> </w:instrText>
          </w:r>
          <w:r>
            <w:instrText xml:space="preserve">PAGEREF _Toc184843570 \h</w:instrText>
          </w:r>
          <w:r>
            <w:rPr>
              <w:rFonts w:hint="eastAsia"/>
            </w:rPr>
            <w:instrText xml:space="preserve"> </w:instrText>
          </w:r>
          <w:r>
            <w:rPr>
              <w:rFonts w:hint="eastAsia"/>
            </w:rPr>
            <w:fldChar w:fldCharType="separate"/>
          </w:r>
          <w:r>
            <w:rPr>
              <w:rFonts w:hint="eastAsia"/>
            </w:rPr>
            <w:t>15</w:t>
          </w:r>
          <w:r>
            <w:rPr>
              <w:rFonts w:hint="eastAsia"/>
            </w:rPr>
            <w:fldChar w:fldCharType="end"/>
          </w:r>
          <w:r>
            <w:rPr>
              <w:rFonts w:hint="eastAsia"/>
            </w:rPr>
            <w:fldChar w:fldCharType="end"/>
          </w:r>
        </w:p>
        <w:p w14:paraId="71AE768B">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"_Toc184843571" </w:instrText>
          </w:r>
          <w:r>
            <w:fldChar w:fldCharType="separate"/>
          </w:r>
          <w:r>
            <w:rPr>
              <w:rStyle w:val="30"/>
              <w:rFonts w:hint="eastAsia" w:ascii="仿宋" w:hAnsi="仿宋" w:cs="Arial"/>
              <w:lang w:bidi="ar"/>
            </w:rPr>
            <w:t>8.</w:t>
          </w:r>
          <w:r>
            <w:rPr>
              <w:rFonts w:hint="eastAsia" w:cstheme="minorBidi"/>
              <w:kern w:val="2"/>
              <w:sz w:val="21"/>
              <w14:ligatures w14:val="standardContextual"/>
            </w:rPr>
            <w:tab/>
          </w:r>
          <w:r>
            <w:rPr>
              <w:rStyle w:val="30"/>
              <w:rFonts w:hint="eastAsia" w:ascii="仿宋" w:hAnsi="仿宋" w:cs="Arial"/>
              <w:shd w:val="clear" w:color="auto" w:fill="FFFFFF"/>
              <w:lang w:bidi="ar"/>
            </w:rPr>
            <w:t>济南轨道交通首个TOD综合体项目顺利封顶</w:t>
          </w:r>
          <w:r>
            <w:rPr>
              <w:rFonts w:hint="eastAsia"/>
            </w:rPr>
            <w:tab/>
          </w:r>
          <w:r>
            <w:rPr>
              <w:rFonts w:hint="eastAsia"/>
            </w:rPr>
            <w:fldChar w:fldCharType="begin"/>
          </w:r>
          <w:r>
            <w:rPr>
              <w:rFonts w:hint="eastAsia"/>
            </w:rPr>
            <w:instrText xml:space="preserve"> </w:instrText>
          </w:r>
          <w:r>
            <w:instrText xml:space="preserve">PAGEREF _Toc184843571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4D06A68F">
          <w:pPr>
            <w:pStyle w:val="17"/>
            <w:tabs>
              <w:tab w:val="left" w:pos="440"/>
              <w:tab w:val="right" w:leader="dot" w:pos="8296"/>
            </w:tabs>
            <w:rPr>
              <w:rFonts w:hint="eastAsia" w:cstheme="minorBidi"/>
              <w:kern w:val="2"/>
              <w:sz w:val="21"/>
              <w14:ligatures w14:val="standardContextual"/>
            </w:rPr>
          </w:pPr>
          <w:r>
            <w:fldChar w:fldCharType="begin"/>
          </w:r>
          <w:r>
            <w:instrText xml:space="preserve"> HYPERLINK \l "_Toc184843572" </w:instrText>
          </w:r>
          <w:r>
            <w:fldChar w:fldCharType="separate"/>
          </w:r>
          <w:r>
            <w:rPr>
              <w:rStyle w:val="30"/>
              <w:rFonts w:hint="eastAsia" w:ascii="仿宋" w:hAnsi="仿宋" w:cs="Arial"/>
              <w:lang w:bidi="ar"/>
            </w:rPr>
            <w:t>9.</w:t>
          </w:r>
          <w:r>
            <w:rPr>
              <w:rFonts w:hint="eastAsia" w:cstheme="minorBidi"/>
              <w:kern w:val="2"/>
              <w:sz w:val="21"/>
              <w14:ligatures w14:val="standardContextual"/>
            </w:rPr>
            <w:tab/>
          </w:r>
          <w:r>
            <w:rPr>
              <w:rStyle w:val="30"/>
              <w:rFonts w:hint="eastAsia" w:ascii="仿宋" w:hAnsi="仿宋" w:cs="Arial"/>
              <w:shd w:val="clear" w:color="auto" w:fill="FFFFFF"/>
              <w:lang w:bidi="ar"/>
            </w:rPr>
            <w:t>香港西九龙高铁站上盖项目IGC明年底完工</w:t>
          </w:r>
          <w:r>
            <w:rPr>
              <w:rFonts w:hint="eastAsia"/>
            </w:rPr>
            <w:tab/>
          </w:r>
          <w:r>
            <w:rPr>
              <w:rFonts w:hint="eastAsia"/>
            </w:rPr>
            <w:fldChar w:fldCharType="begin"/>
          </w:r>
          <w:r>
            <w:rPr>
              <w:rFonts w:hint="eastAsia"/>
            </w:rPr>
            <w:instrText xml:space="preserve"> </w:instrText>
          </w:r>
          <w:r>
            <w:instrText xml:space="preserve">PAGEREF _Toc184843572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1330A3BA">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"_Toc184843573" </w:instrText>
          </w:r>
          <w:r>
            <w:fldChar w:fldCharType="separate"/>
          </w:r>
          <w:r>
            <w:rPr>
              <w:rStyle w:val="30"/>
              <w:rFonts w:hint="eastAsia" w:ascii="仿宋" w:hAnsi="仿宋" w:cs="Arial"/>
              <w:lang w:bidi="ar"/>
            </w:rPr>
            <w:t>10.</w:t>
          </w:r>
          <w:r>
            <w:rPr>
              <w:rFonts w:hint="eastAsia" w:cstheme="minorBidi"/>
              <w:kern w:val="2"/>
              <w:sz w:val="21"/>
              <w14:ligatures w14:val="standardContextual"/>
            </w:rPr>
            <w:tab/>
          </w:r>
          <w:r>
            <w:rPr>
              <w:rStyle w:val="30"/>
              <w:rFonts w:hint="eastAsia" w:ascii="仿宋" w:hAnsi="仿宋" w:cs="Arial"/>
              <w:shd w:val="clear" w:color="auto" w:fill="FFFFFF"/>
              <w:lang w:bidi="ar"/>
            </w:rPr>
            <w:t>成都市锦江区林家坝TOD医疗用地项目一期主体封顶</w:t>
          </w:r>
          <w:r>
            <w:rPr>
              <w:rFonts w:hint="eastAsia"/>
            </w:rPr>
            <w:tab/>
          </w:r>
          <w:r>
            <w:rPr>
              <w:rFonts w:hint="eastAsia"/>
            </w:rPr>
            <w:fldChar w:fldCharType="begin"/>
          </w:r>
          <w:r>
            <w:rPr>
              <w:rFonts w:hint="eastAsia"/>
            </w:rPr>
            <w:instrText xml:space="preserve"> </w:instrText>
          </w:r>
          <w:r>
            <w:instrText xml:space="preserve">PAGEREF _Toc184843573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4C05E000">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"_Toc184843574" </w:instrText>
          </w:r>
          <w:r>
            <w:fldChar w:fldCharType="separate"/>
          </w:r>
          <w:r>
            <w:rPr>
              <w:rStyle w:val="30"/>
              <w:rFonts w:hint="eastAsia" w:ascii="仿宋" w:hAnsi="仿宋" w:cs="Arial"/>
              <w:lang w:bidi="ar"/>
            </w:rPr>
            <w:t>11.</w:t>
          </w:r>
          <w:r>
            <w:rPr>
              <w:rFonts w:hint="eastAsia" w:cstheme="minorBidi"/>
              <w:kern w:val="2"/>
              <w:sz w:val="21"/>
              <w14:ligatures w14:val="standardContextual"/>
            </w:rPr>
            <w:tab/>
          </w:r>
          <w:r>
            <w:rPr>
              <w:rStyle w:val="30"/>
              <w:rFonts w:hint="eastAsia" w:ascii="仿宋" w:hAnsi="仿宋" w:cs="Arial"/>
              <w:shd w:val="clear" w:color="auto" w:fill="FFFFFF"/>
              <w:lang w:bidi="ar"/>
            </w:rPr>
            <w:t>杭州中邮鸿安TOD综合体调整公示</w:t>
          </w:r>
          <w:r>
            <w:rPr>
              <w:rFonts w:hint="eastAsia"/>
            </w:rPr>
            <w:tab/>
          </w:r>
          <w:r>
            <w:rPr>
              <w:rFonts w:hint="eastAsia"/>
            </w:rPr>
            <w:fldChar w:fldCharType="begin"/>
          </w:r>
          <w:r>
            <w:rPr>
              <w:rFonts w:hint="eastAsia"/>
            </w:rPr>
            <w:instrText xml:space="preserve"> </w:instrText>
          </w:r>
          <w:r>
            <w:instrText xml:space="preserve">PAGEREF _Toc184843574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186F3A24">
          <w:pPr>
            <w:pStyle w:val="17"/>
            <w:tabs>
              <w:tab w:val="left" w:pos="630"/>
              <w:tab w:val="right" w:leader="dot" w:pos="8296"/>
            </w:tabs>
            <w:rPr>
              <w:rFonts w:hint="eastAsia" w:cstheme="minorBidi"/>
              <w:kern w:val="2"/>
              <w:sz w:val="21"/>
              <w14:ligatures w14:val="standardContextual"/>
            </w:rPr>
          </w:pPr>
          <w:r>
            <w:fldChar w:fldCharType="begin"/>
          </w:r>
          <w:r>
            <w:instrText xml:space="preserve"> HYPERLINK \l "_Toc184843575" </w:instrText>
          </w:r>
          <w:r>
            <w:fldChar w:fldCharType="separate"/>
          </w:r>
          <w:r>
            <w:rPr>
              <w:rStyle w:val="30"/>
              <w:rFonts w:hint="eastAsia" w:ascii="仿宋" w:hAnsi="仿宋" w:cs="Arial"/>
              <w:lang w:bidi="ar"/>
            </w:rPr>
            <w:t>12.</w:t>
          </w:r>
          <w:r>
            <w:rPr>
              <w:rFonts w:hint="eastAsia" w:cstheme="minorBidi"/>
              <w:kern w:val="2"/>
              <w:sz w:val="21"/>
              <w14:ligatures w14:val="standardContextual"/>
            </w:rPr>
            <w:tab/>
          </w:r>
          <w:r>
            <w:rPr>
              <w:rStyle w:val="30"/>
              <w:rFonts w:hint="eastAsia" w:ascii="仿宋" w:hAnsi="仿宋" w:cs="Arial"/>
              <w:shd w:val="clear" w:color="auto" w:fill="FFFFFF"/>
              <w:lang w:bidi="ar"/>
            </w:rPr>
            <w:t>温州S1线永中站TOD综合开发项目启动</w:t>
          </w:r>
          <w:r>
            <w:rPr>
              <w:rFonts w:hint="eastAsia"/>
            </w:rPr>
            <w:tab/>
          </w:r>
          <w:r>
            <w:rPr>
              <w:rFonts w:hint="eastAsia"/>
            </w:rPr>
            <w:fldChar w:fldCharType="begin"/>
          </w:r>
          <w:r>
            <w:rPr>
              <w:rFonts w:hint="eastAsia"/>
            </w:rPr>
            <w:instrText xml:space="preserve"> </w:instrText>
          </w:r>
          <w:r>
            <w:instrText xml:space="preserve">PAGEREF _Toc184843575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1330B770">
          <w:pPr>
            <w:ind w:firstLine="482"/>
            <w:rPr>
              <w:rFonts w:hint="eastAsia" w:ascii="仿宋" w:hAnsi="仿宋"/>
            </w:rPr>
            <w:sectPr>
              <w:headerReference r:id="rId11" w:type="default"/>
              <w:pgSz w:w="11906" w:h="16838"/>
              <w:pgMar w:top="1440" w:right="1800" w:bottom="1440" w:left="1800" w:header="1474" w:footer="964" w:gutter="0"/>
              <w:pgNumType w:start="1"/>
              <w:cols w:space="425" w:num="1"/>
              <w:docGrid w:type="lines" w:linePitch="326" w:charSpace="0"/>
            </w:sectPr>
          </w:pPr>
          <w:r>
            <w:rPr>
              <w:rFonts w:ascii="仿宋" w:hAnsi="仿宋"/>
              <w:b/>
              <w:bCs/>
              <w:lang w:val="zh-CN"/>
            </w:rPr>
            <w:fldChar w:fldCharType="end"/>
          </w:r>
        </w:p>
      </w:sdtContent>
    </w:sdt>
    <w:p w14:paraId="033B981B">
      <w:pPr>
        <w:spacing w:before="163" w:beforeLines="50" w:after="163" w:afterLines="50"/>
        <w:ind w:firstLine="480"/>
        <w:rPr>
          <w:rFonts w:hint="eastAsia" w:ascii="仿宋" w:hAnsi="仿宋"/>
          <w:szCs w:val="36"/>
        </w:rPr>
      </w:pPr>
      <w:r>
        <w:rPr>
          <w:rFonts w:hint="eastAsia" w:ascii="仿宋" w:hAnsi="仿宋"/>
          <w:szCs w:val="36"/>
        </w:rPr>
        <w:t>《中国城市轨道交通</w:t>
      </w:r>
      <w:r>
        <w:rPr>
          <w:rFonts w:ascii="仿宋" w:hAnsi="仿宋"/>
          <w:szCs w:val="36"/>
        </w:rPr>
        <w:t>TOD监测月报》是由上海易居房地产研究院与中国国土经济学会国土交通综合规划与开发（TOD）专业委员会共同研发，旨在以动态的眼光、全面的视角跟踪全国及各城市TOD政策及行业动向，地铁公司和典型房企的TOD土地成交和项目动态，进而了解并研判行业发展的新政策、新动态和新方向。</w:t>
      </w:r>
    </w:p>
    <w:p w14:paraId="20470825">
      <w:pPr>
        <w:pStyle w:val="2"/>
        <w:keepLines/>
        <w:widowControl w:val="0"/>
        <w:spacing w:before="163" w:after="163"/>
        <w:ind w:firstLine="562"/>
        <w:jc w:val="center"/>
        <w:rPr>
          <w:rFonts w:hint="eastAsia" w:ascii="仿宋" w:hAnsi="仿宋" w:cs="Times New Roman"/>
          <w:color w:val="5B9BD5" w:themeColor="accent5"/>
          <w:kern w:val="44"/>
          <w:sz w:val="28"/>
          <w14:textFill>
            <w14:solidFill>
              <w14:schemeClr w14:val="accent5"/>
            </w14:solidFill>
          </w14:textFill>
        </w:rPr>
      </w:pPr>
      <w:bookmarkStart w:id="4" w:name="_Toc184843540"/>
      <w:bookmarkStart w:id="5" w:name="_Toc166169573"/>
      <w:bookmarkStart w:id="6" w:name="_Toc166095658"/>
      <w:r>
        <w:rPr>
          <w:rFonts w:ascii="仿宋" w:hAnsi="仿宋"/>
          <w:b w:val="0"/>
          <w:bCs w:val="0"/>
        </w:rPr>
        <mc:AlternateContent>
          <mc:Choice Requires="wps">
            <w:drawing>
              <wp:anchor distT="118745" distB="118745" distL="114300" distR="114300" simplePos="0" relativeHeight="251665408" behindDoc="0" locked="0" layoutInCell="0" allowOverlap="1">
                <wp:simplePos x="0" y="0"/>
                <wp:positionH relativeFrom="margin">
                  <wp:posOffset>-31750</wp:posOffset>
                </wp:positionH>
                <wp:positionV relativeFrom="page">
                  <wp:posOffset>3460115</wp:posOffset>
                </wp:positionV>
                <wp:extent cx="5535295" cy="5999480"/>
                <wp:effectExtent l="0" t="0" r="8255" b="1270"/>
                <wp:wrapSquare wrapText="bothSides"/>
                <wp:docPr id="6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35295" cy="5999480"/>
                        </a:xfrm>
                        <a:prstGeom prst="rect">
                          <a:avLst/>
                        </a:prstGeom>
                        <a:solidFill>
                          <a:schemeClr val="accent1">
                            <a:lumMod val="20000"/>
                            <a:lumOff val="80000"/>
                          </a:schemeClr>
                        </a:solidFill>
                      </wps:spPr>
                      <wps:txbx>
                        <w:txbxContent>
                          <w:p w14:paraId="3EDCC80B">
                            <w:pPr>
                              <w:pStyle w:val="32"/>
                              <w:numPr>
                                <w:ilvl w:val="0"/>
                                <w:numId w:val="1"/>
                              </w:numPr>
                              <w:ind w:left="0" w:firstLine="480"/>
                              <w:jc w:val="both"/>
                              <w:rPr>
                                <w:rFonts w:hint="eastAsia" w:ascii="仿宋" w:hAnsi="仿宋"/>
                                <w:szCs w:val="28"/>
                              </w:rPr>
                            </w:pPr>
                            <w:r>
                              <w:rPr>
                                <w:rFonts w:hint="eastAsia" w:ascii="仿宋" w:hAnsi="仿宋"/>
                                <w:szCs w:val="28"/>
                              </w:rPr>
                              <w:t>政策动态方面，多个省市发布了交通相关规划。</w:t>
                            </w:r>
                            <w:r>
                              <w:rPr>
                                <w:rFonts w:ascii="仿宋" w:hAnsi="仿宋"/>
                                <w:szCs w:val="28"/>
                              </w:rPr>
                              <w:t>《陕西省综合立体交通网规划纲要》提出到2035年</w:t>
                            </w:r>
                            <w:r>
                              <w:rPr>
                                <w:rFonts w:hint="eastAsia" w:ascii="仿宋" w:hAnsi="仿宋"/>
                                <w:szCs w:val="28"/>
                              </w:rPr>
                              <w:t>基本</w:t>
                            </w:r>
                            <w:r>
                              <w:rPr>
                                <w:rFonts w:ascii="仿宋" w:hAnsi="仿宋"/>
                                <w:szCs w:val="28"/>
                              </w:rPr>
                              <w:t>构建现代化高质量综合立体交通网的蓝图</w:t>
                            </w:r>
                            <w:r>
                              <w:rPr>
                                <w:rFonts w:hint="eastAsia" w:ascii="仿宋" w:hAnsi="仿宋"/>
                                <w:szCs w:val="28"/>
                              </w:rPr>
                              <w:t>，</w:t>
                            </w:r>
                            <w:r>
                              <w:rPr>
                                <w:rFonts w:ascii="仿宋" w:hAnsi="仿宋"/>
                                <w:szCs w:val="28"/>
                              </w:rPr>
                              <w:t>《广州市综合交通体系规划（2023-2035年）》</w:t>
                            </w:r>
                            <w:r>
                              <w:rPr>
                                <w:rFonts w:hint="eastAsia" w:ascii="仿宋" w:hAnsi="仿宋"/>
                                <w:szCs w:val="28"/>
                              </w:rPr>
                              <w:t>提出</w:t>
                            </w:r>
                            <w:r>
                              <w:rPr>
                                <w:rFonts w:hint="eastAsia" w:ascii="仿宋" w:hAnsi="仿宋"/>
                              </w:rPr>
                              <w:t>高水平建成国际性综合交通枢纽城市</w:t>
                            </w:r>
                            <w:r>
                              <w:rPr>
                                <w:rFonts w:ascii="仿宋" w:hAnsi="仿宋"/>
                                <w:szCs w:val="28"/>
                              </w:rPr>
                              <w:t>，</w:t>
                            </w:r>
                            <w:r>
                              <w:rPr>
                                <w:rFonts w:hint="eastAsia" w:ascii="仿宋" w:hAnsi="仿宋"/>
                                <w:szCs w:val="28"/>
                              </w:rPr>
                              <w:t>《青岛市综合交通体系规划（2021-2035年）》批前公示，提出全面推进</w:t>
                            </w:r>
                            <w:r>
                              <w:rPr>
                                <w:rFonts w:ascii="仿宋" w:hAnsi="仿宋"/>
                                <w:szCs w:val="28"/>
                              </w:rPr>
                              <w:t>TOD开发模式</w:t>
                            </w:r>
                            <w:r>
                              <w:rPr>
                                <w:rFonts w:hint="eastAsia" w:ascii="仿宋" w:hAnsi="仿宋"/>
                                <w:bCs/>
                                <w:szCs w:val="28"/>
                              </w:rPr>
                              <w:t>。</w:t>
                            </w:r>
                          </w:p>
                          <w:p w14:paraId="4910903C">
                            <w:pPr>
                              <w:pStyle w:val="32"/>
                              <w:numPr>
                                <w:ilvl w:val="0"/>
                                <w:numId w:val="1"/>
                              </w:numPr>
                              <w:ind w:left="0" w:firstLine="480"/>
                              <w:jc w:val="both"/>
                              <w:rPr>
                                <w:rFonts w:hint="eastAsia" w:ascii="仿宋" w:hAnsi="仿宋"/>
                                <w:szCs w:val="28"/>
                              </w:rPr>
                            </w:pPr>
                            <w:r>
                              <w:rPr>
                                <w:rFonts w:hint="eastAsia" w:ascii="仿宋" w:hAnsi="仿宋"/>
                                <w:szCs w:val="28"/>
                              </w:rPr>
                              <w:t>行业动态方面，</w:t>
                            </w:r>
                            <w:r>
                              <w:rPr>
                                <w:rFonts w:ascii="仿宋" w:hAnsi="仿宋"/>
                                <w:szCs w:val="28"/>
                              </w:rPr>
                              <w:t>全国</w:t>
                            </w:r>
                            <w:r>
                              <w:rPr>
                                <w:rFonts w:hint="eastAsia" w:ascii="仿宋" w:hAnsi="仿宋"/>
                                <w:szCs w:val="28"/>
                              </w:rPr>
                              <w:t>54个城市</w:t>
                            </w:r>
                            <w:r>
                              <w:rPr>
                                <w:rFonts w:ascii="仿宋" w:hAnsi="仿宋"/>
                                <w:szCs w:val="28"/>
                              </w:rPr>
                              <w:t>城轨交通运营里程达</w:t>
                            </w:r>
                            <w:r>
                              <w:rPr>
                                <w:rFonts w:hint="eastAsia" w:ascii="仿宋" w:hAnsi="仿宋"/>
                                <w:szCs w:val="28"/>
                              </w:rPr>
                              <w:t>到</w:t>
                            </w:r>
                            <w:r>
                              <w:rPr>
                                <w:rFonts w:ascii="仿宋" w:hAnsi="仿宋"/>
                                <w:szCs w:val="28"/>
                              </w:rPr>
                              <w:t>10455公里，显示了城市轨道交通的快速发展。上海</w:t>
                            </w:r>
                            <w:r>
                              <w:rPr>
                                <w:rFonts w:hint="eastAsia" w:ascii="仿宋" w:hAnsi="仿宋"/>
                                <w:szCs w:val="28"/>
                              </w:rPr>
                              <w:t>推介</w:t>
                            </w:r>
                            <w:r>
                              <w:rPr>
                                <w:rFonts w:ascii="仿宋" w:hAnsi="仿宋"/>
                                <w:szCs w:val="28"/>
                              </w:rPr>
                              <w:t>12号线洞泾停车场上盖综合开发和马东动车所上盖综合开发项目</w:t>
                            </w:r>
                            <w:r>
                              <w:rPr>
                                <w:rFonts w:hint="eastAsia" w:ascii="仿宋" w:hAnsi="仿宋"/>
                                <w:szCs w:val="28"/>
                              </w:rPr>
                              <w:t>，吸引社会资本参与项目开发</w:t>
                            </w:r>
                            <w:r>
                              <w:rPr>
                                <w:rFonts w:ascii="仿宋" w:hAnsi="仿宋"/>
                                <w:szCs w:val="28"/>
                              </w:rPr>
                              <w:t>。昆明轨道交通地下预留空间规划商业开发，</w:t>
                            </w:r>
                            <w:r>
                              <w:rPr>
                                <w:rFonts w:hint="eastAsia" w:ascii="仿宋" w:hAnsi="仿宋"/>
                                <w:szCs w:val="28"/>
                              </w:rPr>
                              <w:t>以充分挖掘地下空间资源潜力。</w:t>
                            </w:r>
                          </w:p>
                          <w:p w14:paraId="5813B55A">
                            <w:pPr>
                              <w:pStyle w:val="32"/>
                              <w:numPr>
                                <w:ilvl w:val="0"/>
                                <w:numId w:val="1"/>
                              </w:numPr>
                              <w:ind w:left="0" w:firstLine="480"/>
                              <w:jc w:val="both"/>
                              <w:rPr>
                                <w:rFonts w:hint="eastAsia" w:ascii="仿宋" w:hAnsi="仿宋"/>
                                <w:szCs w:val="28"/>
                              </w:rPr>
                            </w:pPr>
                            <w:r>
                              <w:rPr>
                                <w:rFonts w:hint="eastAsia" w:ascii="仿宋" w:hAnsi="仿宋"/>
                                <w:szCs w:val="28"/>
                              </w:rPr>
                              <w:t>企业动态方面，</w:t>
                            </w:r>
                            <w:r>
                              <w:rPr>
                                <w:rFonts w:ascii="仿宋" w:hAnsi="仿宋"/>
                                <w:szCs w:val="28"/>
                              </w:rPr>
                              <w:t>11月TOD土地市场活跃度较上月有所降低，福州和厦门共成交2幅TOD地块，均为底价成交。华侨城加快存量TOD项目盘活，通过土地收储和规划调整</w:t>
                            </w:r>
                            <w:r>
                              <w:rPr>
                                <w:rFonts w:hint="eastAsia" w:ascii="仿宋" w:hAnsi="仿宋"/>
                                <w:szCs w:val="28"/>
                              </w:rPr>
                              <w:t>，提高土地利用效率</w:t>
                            </w:r>
                            <w:r>
                              <w:rPr>
                                <w:rFonts w:ascii="仿宋" w:hAnsi="仿宋"/>
                                <w:szCs w:val="28"/>
                              </w:rPr>
                              <w:t>。深铁置业与深铁商业成功举办优质商业联席推介会，现场签约超6亿元</w:t>
                            </w:r>
                            <w:r>
                              <w:rPr>
                                <w:rFonts w:hint="eastAsia" w:ascii="仿宋" w:hAnsi="仿宋"/>
                                <w:szCs w:val="28"/>
                              </w:rPr>
                              <w:t>，显示出TOD项目的发展潜力</w:t>
                            </w:r>
                            <w:r>
                              <w:rPr>
                                <w:rFonts w:ascii="仿宋" w:hAnsi="仿宋"/>
                                <w:szCs w:val="28"/>
                              </w:rPr>
                              <w:t>。华润置地发布上海中环沿线新布局，</w:t>
                            </w:r>
                            <w:r>
                              <w:rPr>
                                <w:rFonts w:hint="eastAsia" w:ascii="仿宋" w:hAnsi="仿宋"/>
                                <w:szCs w:val="28"/>
                              </w:rPr>
                              <w:t>同时发布</w:t>
                            </w:r>
                            <w:r>
                              <w:rPr>
                                <w:rFonts w:ascii="仿宋" w:hAnsi="仿宋"/>
                                <w:szCs w:val="28"/>
                              </w:rPr>
                              <w:t>中環置地中心</w:t>
                            </w:r>
                            <w:r>
                              <w:rPr>
                                <w:rFonts w:hint="eastAsia" w:ascii="仿宋" w:hAnsi="仿宋"/>
                                <w:szCs w:val="28"/>
                              </w:rPr>
                              <w:t>，</w:t>
                            </w:r>
                            <w:r>
                              <w:rPr>
                                <w:rFonts w:ascii="仿宋" w:hAnsi="仿宋"/>
                                <w:szCs w:val="28"/>
                              </w:rPr>
                              <w:t>将进一步推动区域发展。绿城管理与港珠澳未来城的合作，预示着大湾区合作共建的新标杆。</w:t>
                            </w:r>
                          </w:p>
                          <w:p w14:paraId="61B7C1EB">
                            <w:pPr>
                              <w:pStyle w:val="32"/>
                              <w:numPr>
                                <w:ilvl w:val="0"/>
                                <w:numId w:val="1"/>
                              </w:numPr>
                              <w:ind w:left="0" w:firstLine="480"/>
                              <w:jc w:val="both"/>
                              <w:rPr>
                                <w:rFonts w:hint="eastAsia" w:ascii="仿宋" w:hAnsi="仿宋"/>
                                <w:szCs w:val="28"/>
                              </w:rPr>
                            </w:pPr>
                            <w:r>
                              <w:rPr>
                                <w:rFonts w:hint="eastAsia" w:ascii="仿宋" w:hAnsi="仿宋"/>
                                <w:szCs w:val="28"/>
                              </w:rPr>
                              <w:t>项目动态方面，亮点项目较多。</w:t>
                            </w:r>
                            <w:r>
                              <w:rPr>
                                <w:rFonts w:ascii="仿宋" w:hAnsi="仿宋"/>
                                <w:szCs w:val="28"/>
                              </w:rPr>
                              <w:t>杭州西站枢纽入选“中国式现代化的浙江探索与实践优秀案例”，体现了其在新一代高铁枢纽高质量发展中的标杆作用。重庆</w:t>
                            </w:r>
                            <w:r>
                              <w:rPr>
                                <w:rFonts w:hint="eastAsia" w:ascii="仿宋" w:hAnsi="仿宋"/>
                                <w:szCs w:val="28"/>
                              </w:rPr>
                              <w:t>、宁波均推出市</w:t>
                            </w:r>
                            <w:r>
                              <w:rPr>
                                <w:rFonts w:ascii="仿宋" w:hAnsi="仿宋"/>
                                <w:szCs w:val="28"/>
                              </w:rPr>
                              <w:t>首个TOD保障性租赁住房项目，体现了TOD</w:t>
                            </w:r>
                            <w:r>
                              <w:rPr>
                                <w:rFonts w:hint="eastAsia" w:ascii="仿宋" w:hAnsi="仿宋"/>
                                <w:szCs w:val="28"/>
                              </w:rPr>
                              <w:t>项目充分发挥交通便捷优势，践行“租购并举”。</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5pt;margin-top:272.45pt;height:472.4pt;width:435.85pt;mso-position-horizontal-relative:margin;mso-position-vertical-relative:page;mso-wrap-distance-bottom:9.35pt;mso-wrap-distance-left:9pt;mso-wrap-distance-right:9pt;mso-wrap-distance-top:9.35pt;z-index:251665408;mso-width-relative:page;mso-height-relative:page;" fillcolor="#DAE3F3 [660]" filled="t" stroked="f" coordsize="21600,21600" o:allowincell="f" o:gfxdata="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qYE5doAAAALAQAADwAAAAAAAAABACAAAAAi&#10;AAAAZHJzL2Rvd25yZXYueG1sUEsBAhQAFAAAAAgAh07iQKXYf/pBAgAAYgQAAA4AAAAAAAAAAQAg&#10;AAAAKQEAAGRycy9lMm9Eb2MueG1sUEsFBgAAAAAGAAYAWQEAANwFAAAAAA==&#10;">
                <v:fill on="t" focussize="0,0"/>
                <v:stroke on="f"/>
                <v:imagedata o:title=""/>
                <o:lock v:ext="edit" aspectratio="f"/>
                <v:textbox>
                  <w:txbxContent>
                    <w:p w14:paraId="3EDCC80B">
                      <w:pPr>
                        <w:pStyle w:val="32"/>
                        <w:numPr>
                          <w:ilvl w:val="0"/>
                          <w:numId w:val="1"/>
                        </w:numPr>
                        <w:ind w:left="0" w:firstLine="480"/>
                        <w:jc w:val="both"/>
                        <w:rPr>
                          <w:rFonts w:hint="eastAsia" w:ascii="仿宋" w:hAnsi="仿宋"/>
                          <w:szCs w:val="28"/>
                        </w:rPr>
                      </w:pPr>
                      <w:r>
                        <w:rPr>
                          <w:rFonts w:hint="eastAsia" w:ascii="仿宋" w:hAnsi="仿宋"/>
                          <w:szCs w:val="28"/>
                        </w:rPr>
                        <w:t>政策动态方面，多个省市发布了交通相关规划。</w:t>
                      </w:r>
                      <w:r>
                        <w:rPr>
                          <w:rFonts w:ascii="仿宋" w:hAnsi="仿宋"/>
                          <w:szCs w:val="28"/>
                        </w:rPr>
                        <w:t>《陕西省综合立体交通网规划纲要》提出到2035年</w:t>
                      </w:r>
                      <w:r>
                        <w:rPr>
                          <w:rFonts w:hint="eastAsia" w:ascii="仿宋" w:hAnsi="仿宋"/>
                          <w:szCs w:val="28"/>
                        </w:rPr>
                        <w:t>基本</w:t>
                      </w:r>
                      <w:r>
                        <w:rPr>
                          <w:rFonts w:ascii="仿宋" w:hAnsi="仿宋"/>
                          <w:szCs w:val="28"/>
                        </w:rPr>
                        <w:t>构建现代化高质量综合立体交通网的蓝图</w:t>
                      </w:r>
                      <w:r>
                        <w:rPr>
                          <w:rFonts w:hint="eastAsia" w:ascii="仿宋" w:hAnsi="仿宋"/>
                          <w:szCs w:val="28"/>
                        </w:rPr>
                        <w:t>，</w:t>
                      </w:r>
                      <w:r>
                        <w:rPr>
                          <w:rFonts w:ascii="仿宋" w:hAnsi="仿宋"/>
                          <w:szCs w:val="28"/>
                        </w:rPr>
                        <w:t>《广州市综合交通体系规划（2023-2035年）》</w:t>
                      </w:r>
                      <w:r>
                        <w:rPr>
                          <w:rFonts w:hint="eastAsia" w:ascii="仿宋" w:hAnsi="仿宋"/>
                          <w:szCs w:val="28"/>
                        </w:rPr>
                        <w:t>提出</w:t>
                      </w:r>
                      <w:r>
                        <w:rPr>
                          <w:rFonts w:hint="eastAsia" w:ascii="仿宋" w:hAnsi="仿宋"/>
                        </w:rPr>
                        <w:t>高水平建成国际性综合交通枢纽城市</w:t>
                      </w:r>
                      <w:r>
                        <w:rPr>
                          <w:rFonts w:ascii="仿宋" w:hAnsi="仿宋"/>
                          <w:szCs w:val="28"/>
                        </w:rPr>
                        <w:t>，</w:t>
                      </w:r>
                      <w:r>
                        <w:rPr>
                          <w:rFonts w:hint="eastAsia" w:ascii="仿宋" w:hAnsi="仿宋"/>
                          <w:szCs w:val="28"/>
                        </w:rPr>
                        <w:t>《青岛市综合交通体系规划（2021-2035年）》批前公示，提出全面推进</w:t>
                      </w:r>
                      <w:r>
                        <w:rPr>
                          <w:rFonts w:ascii="仿宋" w:hAnsi="仿宋"/>
                          <w:szCs w:val="28"/>
                        </w:rPr>
                        <w:t>TOD开发模式</w:t>
                      </w:r>
                      <w:r>
                        <w:rPr>
                          <w:rFonts w:hint="eastAsia" w:ascii="仿宋" w:hAnsi="仿宋"/>
                          <w:bCs/>
                          <w:szCs w:val="28"/>
                        </w:rPr>
                        <w:t>。</w:t>
                      </w:r>
                    </w:p>
                    <w:p w14:paraId="4910903C">
                      <w:pPr>
                        <w:pStyle w:val="32"/>
                        <w:numPr>
                          <w:ilvl w:val="0"/>
                          <w:numId w:val="1"/>
                        </w:numPr>
                        <w:ind w:left="0" w:firstLine="480"/>
                        <w:jc w:val="both"/>
                        <w:rPr>
                          <w:rFonts w:hint="eastAsia" w:ascii="仿宋" w:hAnsi="仿宋"/>
                          <w:szCs w:val="28"/>
                        </w:rPr>
                      </w:pPr>
                      <w:r>
                        <w:rPr>
                          <w:rFonts w:hint="eastAsia" w:ascii="仿宋" w:hAnsi="仿宋"/>
                          <w:szCs w:val="28"/>
                        </w:rPr>
                        <w:t>行业动态方面，</w:t>
                      </w:r>
                      <w:r>
                        <w:rPr>
                          <w:rFonts w:ascii="仿宋" w:hAnsi="仿宋"/>
                          <w:szCs w:val="28"/>
                        </w:rPr>
                        <w:t>全国</w:t>
                      </w:r>
                      <w:r>
                        <w:rPr>
                          <w:rFonts w:hint="eastAsia" w:ascii="仿宋" w:hAnsi="仿宋"/>
                          <w:szCs w:val="28"/>
                        </w:rPr>
                        <w:t>54个城市</w:t>
                      </w:r>
                      <w:r>
                        <w:rPr>
                          <w:rFonts w:ascii="仿宋" w:hAnsi="仿宋"/>
                          <w:szCs w:val="28"/>
                        </w:rPr>
                        <w:t>城轨交通运营里程达</w:t>
                      </w:r>
                      <w:r>
                        <w:rPr>
                          <w:rFonts w:hint="eastAsia" w:ascii="仿宋" w:hAnsi="仿宋"/>
                          <w:szCs w:val="28"/>
                        </w:rPr>
                        <w:t>到</w:t>
                      </w:r>
                      <w:r>
                        <w:rPr>
                          <w:rFonts w:ascii="仿宋" w:hAnsi="仿宋"/>
                          <w:szCs w:val="28"/>
                        </w:rPr>
                        <w:t>10455公里，显示了城市轨道交通的快速发展。上海</w:t>
                      </w:r>
                      <w:r>
                        <w:rPr>
                          <w:rFonts w:hint="eastAsia" w:ascii="仿宋" w:hAnsi="仿宋"/>
                          <w:szCs w:val="28"/>
                        </w:rPr>
                        <w:t>推介</w:t>
                      </w:r>
                      <w:r>
                        <w:rPr>
                          <w:rFonts w:ascii="仿宋" w:hAnsi="仿宋"/>
                          <w:szCs w:val="28"/>
                        </w:rPr>
                        <w:t>12号线洞泾停车场上盖综合开发和马东动车所上盖综合开发项目</w:t>
                      </w:r>
                      <w:r>
                        <w:rPr>
                          <w:rFonts w:hint="eastAsia" w:ascii="仿宋" w:hAnsi="仿宋"/>
                          <w:szCs w:val="28"/>
                        </w:rPr>
                        <w:t>，吸引社会资本参与项目开发</w:t>
                      </w:r>
                      <w:r>
                        <w:rPr>
                          <w:rFonts w:ascii="仿宋" w:hAnsi="仿宋"/>
                          <w:szCs w:val="28"/>
                        </w:rPr>
                        <w:t>。昆明轨道交通地下预留空间规划商业开发，</w:t>
                      </w:r>
                      <w:r>
                        <w:rPr>
                          <w:rFonts w:hint="eastAsia" w:ascii="仿宋" w:hAnsi="仿宋"/>
                          <w:szCs w:val="28"/>
                        </w:rPr>
                        <w:t>以充分挖掘地下空间资源潜力。</w:t>
                      </w:r>
                    </w:p>
                    <w:p w14:paraId="5813B55A">
                      <w:pPr>
                        <w:pStyle w:val="32"/>
                        <w:numPr>
                          <w:ilvl w:val="0"/>
                          <w:numId w:val="1"/>
                        </w:numPr>
                        <w:ind w:left="0" w:firstLine="480"/>
                        <w:jc w:val="both"/>
                        <w:rPr>
                          <w:rFonts w:hint="eastAsia" w:ascii="仿宋" w:hAnsi="仿宋"/>
                          <w:szCs w:val="28"/>
                        </w:rPr>
                      </w:pPr>
                      <w:r>
                        <w:rPr>
                          <w:rFonts w:hint="eastAsia" w:ascii="仿宋" w:hAnsi="仿宋"/>
                          <w:szCs w:val="28"/>
                        </w:rPr>
                        <w:t>企业动态方面，</w:t>
                      </w:r>
                      <w:r>
                        <w:rPr>
                          <w:rFonts w:ascii="仿宋" w:hAnsi="仿宋"/>
                          <w:szCs w:val="28"/>
                        </w:rPr>
                        <w:t>11月TOD土地市场活跃度较上月有所降低，福州和厦门共成交2幅TOD地块，均为底价成交。华侨城加快存量TOD项目盘活，通过土地收储和规划调整</w:t>
                      </w:r>
                      <w:r>
                        <w:rPr>
                          <w:rFonts w:hint="eastAsia" w:ascii="仿宋" w:hAnsi="仿宋"/>
                          <w:szCs w:val="28"/>
                        </w:rPr>
                        <w:t>，提高土地利用效率</w:t>
                      </w:r>
                      <w:r>
                        <w:rPr>
                          <w:rFonts w:ascii="仿宋" w:hAnsi="仿宋"/>
                          <w:szCs w:val="28"/>
                        </w:rPr>
                        <w:t>。深铁置业与深铁商业成功举办优质商业联席推介会，现场签约超6亿元</w:t>
                      </w:r>
                      <w:r>
                        <w:rPr>
                          <w:rFonts w:hint="eastAsia" w:ascii="仿宋" w:hAnsi="仿宋"/>
                          <w:szCs w:val="28"/>
                        </w:rPr>
                        <w:t>，显示出TOD项目的发展潜力</w:t>
                      </w:r>
                      <w:r>
                        <w:rPr>
                          <w:rFonts w:ascii="仿宋" w:hAnsi="仿宋"/>
                          <w:szCs w:val="28"/>
                        </w:rPr>
                        <w:t>。华润置地发布上海中环沿线新布局，</w:t>
                      </w:r>
                      <w:r>
                        <w:rPr>
                          <w:rFonts w:hint="eastAsia" w:ascii="仿宋" w:hAnsi="仿宋"/>
                          <w:szCs w:val="28"/>
                        </w:rPr>
                        <w:t>同时发布</w:t>
                      </w:r>
                      <w:r>
                        <w:rPr>
                          <w:rFonts w:ascii="仿宋" w:hAnsi="仿宋"/>
                          <w:szCs w:val="28"/>
                        </w:rPr>
                        <w:t>中環置地中心</w:t>
                      </w:r>
                      <w:r>
                        <w:rPr>
                          <w:rFonts w:hint="eastAsia" w:ascii="仿宋" w:hAnsi="仿宋"/>
                          <w:szCs w:val="28"/>
                        </w:rPr>
                        <w:t>，</w:t>
                      </w:r>
                      <w:r>
                        <w:rPr>
                          <w:rFonts w:ascii="仿宋" w:hAnsi="仿宋"/>
                          <w:szCs w:val="28"/>
                        </w:rPr>
                        <w:t>将进一步推动区域发展。绿城管理与港珠澳未来城的合作，预示着大湾区合作共建的新标杆。</w:t>
                      </w:r>
                    </w:p>
                    <w:p w14:paraId="61B7C1EB">
                      <w:pPr>
                        <w:pStyle w:val="32"/>
                        <w:numPr>
                          <w:ilvl w:val="0"/>
                          <w:numId w:val="1"/>
                        </w:numPr>
                        <w:ind w:left="0" w:firstLine="480"/>
                        <w:jc w:val="both"/>
                        <w:rPr>
                          <w:rFonts w:hint="eastAsia" w:ascii="仿宋" w:hAnsi="仿宋"/>
                          <w:szCs w:val="28"/>
                        </w:rPr>
                      </w:pPr>
                      <w:r>
                        <w:rPr>
                          <w:rFonts w:hint="eastAsia" w:ascii="仿宋" w:hAnsi="仿宋"/>
                          <w:szCs w:val="28"/>
                        </w:rPr>
                        <w:t>项目动态方面，亮点项目较多。</w:t>
                      </w:r>
                      <w:r>
                        <w:rPr>
                          <w:rFonts w:ascii="仿宋" w:hAnsi="仿宋"/>
                          <w:szCs w:val="28"/>
                        </w:rPr>
                        <w:t>杭州西站枢纽入选“中国式现代化的浙江探索与实践优秀案例”，体现了其在新一代高铁枢纽高质量发展中的标杆作用。重庆</w:t>
                      </w:r>
                      <w:r>
                        <w:rPr>
                          <w:rFonts w:hint="eastAsia" w:ascii="仿宋" w:hAnsi="仿宋"/>
                          <w:szCs w:val="28"/>
                        </w:rPr>
                        <w:t>、宁波均推出市</w:t>
                      </w:r>
                      <w:r>
                        <w:rPr>
                          <w:rFonts w:ascii="仿宋" w:hAnsi="仿宋"/>
                          <w:szCs w:val="28"/>
                        </w:rPr>
                        <w:t>首个TOD保障性租赁住房项目，体现了TOD</w:t>
                      </w:r>
                      <w:r>
                        <w:rPr>
                          <w:rFonts w:hint="eastAsia" w:ascii="仿宋" w:hAnsi="仿宋"/>
                          <w:szCs w:val="28"/>
                        </w:rPr>
                        <w:t>项目充分发挥交通便捷优势，践行“租购并举”。</w:t>
                      </w:r>
                    </w:p>
                  </w:txbxContent>
                </v:textbox>
                <w10:wrap type="square"/>
              </v:shape>
            </w:pict>
          </mc:Fallback>
        </mc:AlternateContent>
      </w:r>
      <w:r>
        <w:rPr>
          <w:rFonts w:ascii="仿宋" w:hAnsi="仿宋" w:cs="Times New Roman"/>
          <w:color w:val="5B9BD5" w:themeColor="accent5"/>
          <w:kern w:val="44"/>
          <w:sz w:val="28"/>
          <w14:textFill>
            <w14:solidFill>
              <w14:schemeClr w14:val="accent5"/>
            </w14:solidFill>
          </w14:textFill>
        </w:rPr>
        <w:t>摘要</w:t>
      </w:r>
      <w:bookmarkEnd w:id="4"/>
      <w:bookmarkEnd w:id="5"/>
      <w:bookmarkEnd w:id="6"/>
    </w:p>
    <w:p w14:paraId="2F53B3BD">
      <w:pPr>
        <w:pStyle w:val="48"/>
        <w:ind w:firstLine="480"/>
        <w:rPr>
          <w:rFonts w:hint="eastAsia" w:ascii="仿宋" w:hAnsi="仿宋"/>
        </w:rPr>
        <w:sectPr>
          <w:pgSz w:w="11906" w:h="16838"/>
          <w:pgMar w:top="1440" w:right="1800" w:bottom="1440" w:left="1800" w:header="1474" w:footer="964" w:gutter="0"/>
          <w:pgNumType w:start="1"/>
          <w:cols w:space="425" w:num="1"/>
          <w:docGrid w:type="lines" w:linePitch="326" w:charSpace="0"/>
        </w:sectPr>
      </w:pPr>
    </w:p>
    <w:p w14:paraId="08517FA2">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7" w:name="_Toc184843541"/>
      <w:r>
        <w:rPr>
          <w:rFonts w:hint="eastAsia" w:ascii="黑体" w:hAnsi="黑体" w:eastAsia="黑体" w:cs="Times New Roman"/>
          <w:color w:val="5B9BD5" w:themeColor="accent5"/>
          <w:kern w:val="44"/>
          <w:sz w:val="28"/>
          <w14:textFill>
            <w14:solidFill>
              <w14:schemeClr w14:val="accent5"/>
            </w14:solidFill>
          </w14:textFill>
        </w:rPr>
        <w:t>一</w:t>
      </w:r>
      <w:r>
        <w:rPr>
          <w:rFonts w:ascii="黑体" w:hAnsi="黑体" w:eastAsia="黑体" w:cs="Times New Roman"/>
          <w:color w:val="5B9BD5" w:themeColor="accent5"/>
          <w:kern w:val="44"/>
          <w:sz w:val="28"/>
          <w14:textFill>
            <w14:solidFill>
              <w14:schemeClr w14:val="accent5"/>
            </w14:solidFill>
          </w14:textFill>
        </w:rPr>
        <w:t>、政策动态</w:t>
      </w:r>
      <w:bookmarkEnd w:id="7"/>
    </w:p>
    <w:p w14:paraId="6D011CE0">
      <w:pPr>
        <w:pStyle w:val="2"/>
        <w:numPr>
          <w:ilvl w:val="0"/>
          <w:numId w:val="2"/>
        </w:numPr>
        <w:rPr>
          <w:rFonts w:hint="eastAsia" w:ascii="仿宋" w:hAnsi="仿宋" w:cs="Arial"/>
          <w:color w:val="222222"/>
          <w:kern w:val="0"/>
          <w:szCs w:val="24"/>
          <w:shd w:val="clear" w:color="auto" w:fill="FFFFFF"/>
          <w:lang w:bidi="ar"/>
        </w:rPr>
      </w:pPr>
      <w:bookmarkStart w:id="8" w:name="_Toc184843542"/>
      <w:bookmarkStart w:id="9" w:name="_Hlk182570893"/>
      <w:bookmarkStart w:id="10" w:name="_Hlk163551680"/>
      <w:r>
        <w:rPr>
          <w:rFonts w:hint="eastAsia" w:ascii="仿宋" w:hAnsi="仿宋" w:cs="Arial"/>
          <w:color w:val="222222"/>
          <w:kern w:val="0"/>
          <w:szCs w:val="24"/>
          <w:shd w:val="clear" w:color="auto" w:fill="FFFFFF"/>
          <w:lang w:bidi="ar"/>
        </w:rPr>
        <w:t>《陕西省综合立体交通网规划纲要》提出建成现代化高质量综合立体交通网</w:t>
      </w:r>
      <w:bookmarkEnd w:id="8"/>
    </w:p>
    <w:bookmarkEnd w:id="9"/>
    <w:p w14:paraId="369C5244">
      <w:pPr>
        <w:ind w:firstLine="480"/>
        <w:rPr>
          <w:rFonts w:hint="eastAsia" w:ascii="仿宋" w:hAnsi="仿宋"/>
        </w:rPr>
      </w:pPr>
      <w:r>
        <w:rPr>
          <w:rFonts w:hint="eastAsia" w:ascii="仿宋" w:hAnsi="仿宋"/>
        </w:rPr>
        <w:t>日前，陕西省委、省政府印发《陕西省综合立体交通网规划纲要》（以下简称《刚要》），谋划了未来陕西省交通运输发展的蓝图。《纲要》明确，到2035年，陕西基本建成便捷顺畅、经济高效、绿色集约、智能先进、安全可靠的现代化高质量综合立体交通网，“678”国家综合立体交通网主骨架在陕境内全面畅通，“123交通出行圈”（面向省内基本实现西安都市圈1小时通勤，关中平原城市群2小时互通，所有地市和主要县城3小时到达；面向全国基本实现周边省会城市1至2小时直达，京津冀、长三角、粤港澳、成渝等经济区2至3小时直达，国内主要城市3小时直达；面向全球基本做到快货物流国内1天送达，周边国家2天送达，全球主要城市3天送达）全面构筑，协同周边、服务全国、融入全球的能力显著提高，有力支撑陕西打造内陆改革开放高地，构建陆海内外联动、东西双向互济的开放格局。</w:t>
      </w:r>
    </w:p>
    <w:p w14:paraId="260CDCDC">
      <w:pPr>
        <w:pStyle w:val="2"/>
        <w:numPr>
          <w:ilvl w:val="0"/>
          <w:numId w:val="2"/>
        </w:numPr>
        <w:rPr>
          <w:rFonts w:hint="eastAsia" w:ascii="仿宋" w:hAnsi="仿宋" w:cs="Arial"/>
          <w:color w:val="222222"/>
          <w:kern w:val="0"/>
          <w:szCs w:val="24"/>
          <w:shd w:val="clear" w:color="auto" w:fill="FFFFFF"/>
          <w:lang w:bidi="ar"/>
        </w:rPr>
      </w:pPr>
      <w:bookmarkStart w:id="11" w:name="_Toc184843543"/>
      <w:r>
        <w:rPr>
          <w:rFonts w:hint="eastAsia" w:ascii="仿宋" w:hAnsi="仿宋" w:cs="Arial"/>
          <w:color w:val="222222"/>
          <w:kern w:val="0"/>
          <w:szCs w:val="24"/>
          <w:shd w:val="clear" w:color="auto" w:fill="FFFFFF"/>
          <w:lang w:bidi="ar"/>
        </w:rPr>
        <w:t>《信阳市现代综合交通枢纽体系实施方案（2024-2026年）》提出坚持“站产城”融合发展</w:t>
      </w:r>
      <w:bookmarkEnd w:id="11"/>
    </w:p>
    <w:p w14:paraId="6A1B4D51">
      <w:pPr>
        <w:ind w:firstLine="480"/>
        <w:rPr>
          <w:rFonts w:hint="eastAsia" w:ascii="仿宋" w:hAnsi="仿宋"/>
        </w:rPr>
      </w:pPr>
      <w:r>
        <w:rPr>
          <w:rFonts w:hint="eastAsia" w:ascii="仿宋" w:hAnsi="仿宋"/>
        </w:rPr>
        <w:t>近日，信阳市出台《信阳市现代综合交通枢纽体系实施方案（2024—2026）》，优化完善全市综合交通枢纽布局，加快构建现代综合交通枢纽体系，全面推动交通区位优势向枢纽经济优势转变。在探索发展高铁枢纽经济方面，坚持“站产城”融合发展，大力发展高铁经济，科学推进信阳东站高铁片区综合开发建设，引进培育现代物流、总部办公、商务金融、信息服务等生产性和生活性服务业集群发展，打造高铁综合枢纽高端商务商业圈，推动综合交通枢纽从运输功能向经济功能延伸，打造城市新兴经济增长极。</w:t>
      </w:r>
    </w:p>
    <w:p w14:paraId="34721789">
      <w:pPr>
        <w:pStyle w:val="2"/>
        <w:numPr>
          <w:ilvl w:val="0"/>
          <w:numId w:val="2"/>
        </w:numPr>
        <w:rPr>
          <w:rFonts w:hint="eastAsia" w:ascii="仿宋" w:hAnsi="仿宋" w:cs="Arial"/>
          <w:color w:val="222222"/>
          <w:kern w:val="0"/>
          <w:szCs w:val="24"/>
          <w:shd w:val="clear" w:color="auto" w:fill="FFFFFF"/>
          <w:lang w:bidi="ar"/>
        </w:rPr>
      </w:pPr>
      <w:bookmarkStart w:id="12" w:name="_Toc184843544"/>
      <w:r>
        <w:rPr>
          <w:rFonts w:hint="eastAsia" w:ascii="仿宋" w:hAnsi="仿宋" w:cs="Arial"/>
          <w:color w:val="222222"/>
          <w:kern w:val="0"/>
          <w:szCs w:val="24"/>
          <w:shd w:val="clear" w:color="auto" w:fill="FFFFFF"/>
          <w:lang w:bidi="ar"/>
        </w:rPr>
        <w:t>《德州市人民政府办公室关于进一步推动城市公共交通优先发展的意见（征求意见稿）》公开征求意见，</w:t>
      </w:r>
      <w:r>
        <w:rPr>
          <w:rFonts w:hint="eastAsia" w:ascii="仿宋" w:hAnsi="仿宋"/>
        </w:rPr>
        <w:t>鼓励以TOD为导向的可持续发展模式</w:t>
      </w:r>
      <w:bookmarkEnd w:id="12"/>
    </w:p>
    <w:p w14:paraId="14E9400D">
      <w:pPr>
        <w:ind w:firstLine="480"/>
        <w:rPr>
          <w:rFonts w:hint="eastAsia" w:ascii="仿宋" w:hAnsi="仿宋"/>
        </w:rPr>
      </w:pPr>
      <w:r>
        <w:rPr>
          <w:rFonts w:hint="eastAsia" w:ascii="仿宋" w:hAnsi="仿宋"/>
        </w:rPr>
        <w:t>11月15日，德州市交通运输局起草《德州市人民政府办公室关于进一步推动城市公共交通优先发展的意见（征求意见稿）》（以下简称《意见》）现向社会公开征求意见。《意见》明确加强城市公共交通设施用地保障。各县(市、区)政府在组织编制实施国土空间规划时，应合理确定公交基础设施的用地规模和布局，不得随意修改和变更城市公共交通相关内容，保障城市公共交通规划确定的基础设施用地。对于符合《划拨用地目录》规定的，可采取划拨方式供地，不符合的，应依法以有偿方式供地。《意见》着力推进城市公共交通设施用地综合开发。鼓励以TOD为导向的可持续发展模式。对新建公共交通设施用地的地上、地下空间，按照市场化原则实施土地综合开发；对现有公共交通设施用地，支持在符合规划且不改变用途的前提下进行立体开发。综合开发收益可用于城市公共交通基础设施建设和弥补运营亏损。鼓励社会资本依法依规参与城市公共交通场站综合开发。</w:t>
      </w:r>
    </w:p>
    <w:p w14:paraId="534AEC6B">
      <w:pPr>
        <w:pStyle w:val="2"/>
        <w:numPr>
          <w:ilvl w:val="0"/>
          <w:numId w:val="2"/>
        </w:numPr>
        <w:rPr>
          <w:rFonts w:hint="eastAsia" w:ascii="仿宋" w:hAnsi="仿宋" w:cs="Arial"/>
          <w:color w:val="222222"/>
          <w:kern w:val="0"/>
          <w:szCs w:val="24"/>
          <w:shd w:val="clear" w:color="auto" w:fill="FFFFFF"/>
          <w:lang w:bidi="ar"/>
        </w:rPr>
      </w:pPr>
      <w:bookmarkStart w:id="13" w:name="_Toc184843545"/>
      <w:r>
        <w:rPr>
          <w:rFonts w:hint="eastAsia" w:ascii="仿宋" w:hAnsi="仿宋" w:cs="Arial"/>
          <w:color w:val="222222"/>
          <w:kern w:val="0"/>
          <w:szCs w:val="24"/>
          <w:shd w:val="clear" w:color="auto" w:fill="FFFFFF"/>
          <w:lang w:bidi="ar"/>
        </w:rPr>
        <w:t>《广州市综合交通体系规划（2023-2035年）》提出</w:t>
      </w:r>
      <w:r>
        <w:rPr>
          <w:rFonts w:hint="eastAsia" w:ascii="仿宋" w:hAnsi="仿宋"/>
        </w:rPr>
        <w:t>高水平建成国际性综合交通枢纽城市</w:t>
      </w:r>
      <w:bookmarkEnd w:id="13"/>
    </w:p>
    <w:p w14:paraId="111E96F7">
      <w:pPr>
        <w:ind w:firstLine="480"/>
        <w:rPr>
          <w:rFonts w:hint="eastAsia" w:ascii="仿宋" w:hAnsi="仿宋"/>
        </w:rPr>
      </w:pPr>
      <w:r>
        <w:rPr>
          <w:rFonts w:hint="eastAsia" w:ascii="仿宋" w:hAnsi="仿宋"/>
        </w:rPr>
        <w:t>11月18日，广州发布了《广州市综合交通体系规划（2023-2035年）》（以下简称《规划》）。《规划》立足湾区、协同港澳、面向世界，围绕“大干十二年、再造新广州”，突出更高效的对外链接与更人本的城市交通两大导向，高效组织城市空间，提出到2035年，高水平建成国际性综合交通枢纽城市，全面形成“12312”出行交通圈和“123”快货物流圈，实现中心城区至南沙新区、东部中心、外围综合新城30分钟互达，市域至大湾区城市60分钟互达的快速交通服务目标。《规划》以可持续发展为导向，从高效便捷、绿色公平、安全韧性等方面确定交通发展指标。</w:t>
      </w:r>
    </w:p>
    <w:p w14:paraId="5D923774">
      <w:pPr>
        <w:pStyle w:val="2"/>
        <w:numPr>
          <w:ilvl w:val="0"/>
          <w:numId w:val="2"/>
        </w:numPr>
        <w:rPr>
          <w:rFonts w:hint="eastAsia" w:ascii="仿宋" w:hAnsi="仿宋" w:cs="Arial"/>
          <w:color w:val="222222"/>
          <w:kern w:val="0"/>
          <w:szCs w:val="24"/>
          <w:shd w:val="clear" w:color="auto" w:fill="FFFFFF"/>
          <w:lang w:bidi="ar"/>
        </w:rPr>
      </w:pPr>
      <w:bookmarkStart w:id="14" w:name="_Toc184843546"/>
      <w:r>
        <w:rPr>
          <w:rFonts w:hint="eastAsia" w:ascii="仿宋" w:hAnsi="仿宋" w:cs="Arial"/>
          <w:color w:val="222222"/>
          <w:kern w:val="0"/>
          <w:szCs w:val="24"/>
          <w:shd w:val="clear" w:color="auto" w:fill="FFFFFF"/>
          <w:lang w:bidi="ar"/>
        </w:rPr>
        <w:t>《连云港市国土空间综合交通规划（2021-2035）》批前公示</w:t>
      </w:r>
      <w:bookmarkEnd w:id="14"/>
    </w:p>
    <w:p w14:paraId="66B3DD34">
      <w:pPr>
        <w:ind w:firstLine="480"/>
        <w:rPr>
          <w:rFonts w:hint="eastAsia" w:ascii="仿宋" w:hAnsi="仿宋"/>
        </w:rPr>
      </w:pPr>
      <w:r>
        <w:rPr>
          <w:rFonts w:hint="eastAsia" w:ascii="仿宋" w:hAnsi="仿宋"/>
        </w:rPr>
        <w:t>11月22日，连云港市自然资源和规划局发布《连云港市国土空间综合交通规划（2021-2035）》（以下简称《规划》）批前公示草案。《规划》目标是到2035年基本建成公、铁、水、空、管综合立体交通网，高水平建设“全国性综合交通枢纽”、“国际枢纽海港”；基本形成“双快”（快速路+快速公交）体系骨架，支撑城市组团发展；显著提升城市步行和非机动车设施水平，街道空间与出行品质得到优化；基本建成“安全便捷、集约高效、智慧低碳”的现代化高质量综合交通体系。到2050年全面建成现代化高质量综合交通体系，实现“人享其行、物畅其流”。</w:t>
      </w:r>
    </w:p>
    <w:p w14:paraId="6935C08F">
      <w:pPr>
        <w:pStyle w:val="2"/>
        <w:numPr>
          <w:ilvl w:val="0"/>
          <w:numId w:val="2"/>
        </w:numPr>
        <w:rPr>
          <w:rFonts w:hint="eastAsia" w:ascii="仿宋" w:hAnsi="仿宋" w:cs="Arial"/>
          <w:color w:val="222222"/>
          <w:kern w:val="0"/>
          <w:szCs w:val="24"/>
          <w:shd w:val="clear" w:color="auto" w:fill="FFFFFF"/>
          <w:lang w:bidi="ar"/>
        </w:rPr>
      </w:pPr>
      <w:bookmarkStart w:id="15" w:name="_Toc184843547"/>
      <w:r>
        <w:rPr>
          <w:rFonts w:hint="eastAsia" w:ascii="仿宋" w:hAnsi="仿宋" w:cs="Arial"/>
          <w:color w:val="222222"/>
          <w:kern w:val="0"/>
          <w:szCs w:val="24"/>
          <w:shd w:val="clear" w:color="auto" w:fill="FFFFFF"/>
          <w:lang w:bidi="ar"/>
        </w:rPr>
        <w:t>《青岛市综合交通体系规划(2021—2035年)》批前公示，全面推进TOD开发模式</w:t>
      </w:r>
      <w:bookmarkEnd w:id="15"/>
    </w:p>
    <w:p w14:paraId="7F08F722">
      <w:pPr>
        <w:ind w:firstLine="480"/>
        <w:rPr>
          <w:rFonts w:hint="eastAsia" w:ascii="仿宋" w:hAnsi="仿宋"/>
        </w:rPr>
      </w:pPr>
      <w:r>
        <w:rPr>
          <w:rFonts w:hint="eastAsia" w:ascii="仿宋" w:hAnsi="仿宋"/>
        </w:rPr>
        <w:t>11月26日，《青岛市综合交通体系规划（2021—2035年）》（以下简称《规划》）批前公示。《规划》明确发展目标：以国际性综合交通枢纽城市建设为总目标，将青岛打造成为全球陆海交汇的重要枢纽，有力推动和构建东西双向互济、陆海内外联动的开放格局。其中既有“打造一港六区”“强化面向东北亚的门户”等整体性规划，也有“因地制宜规划建设自行车交通设施”等具体措施。面对未来交通发展，提出了“构建人、车、路协同运作的智慧交通管理与服务体系”。《规划》还提到全面推进TOD开发模式，积极推进以公共交通为导向的开发模式（TOD），促进轨道线路与城市空间结构相互协调，轨道站点建设与土地使用相互支撑，节约集约土地、优化空间资源要素配置、提升城市品质能级，推进轨道交通可持续高质量发展。</w:t>
      </w:r>
    </w:p>
    <w:bookmarkEnd w:id="10"/>
    <w:p w14:paraId="337CEBAA">
      <w:pPr>
        <w:pStyle w:val="48"/>
        <w:ind w:firstLine="480"/>
        <w:rPr>
          <w:rFonts w:hint="eastAsia" w:ascii="仿宋" w:hAnsi="仿宋"/>
        </w:rPr>
      </w:pPr>
    </w:p>
    <w:p w14:paraId="48CF3355">
      <w:pPr>
        <w:ind w:firstLine="480"/>
        <w:rPr>
          <w:rFonts w:hint="eastAsia" w:ascii="仿宋" w:hAnsi="仿宋"/>
        </w:rPr>
        <w:sectPr>
          <w:headerReference r:id="rId12" w:type="default"/>
          <w:pgSz w:w="11906" w:h="16838"/>
          <w:pgMar w:top="1440" w:right="1800" w:bottom="1440" w:left="1800" w:header="1474" w:footer="964" w:gutter="0"/>
          <w:cols w:space="425" w:num="1"/>
          <w:docGrid w:type="lines" w:linePitch="326" w:charSpace="0"/>
        </w:sectPr>
      </w:pPr>
    </w:p>
    <w:p w14:paraId="4BA5F5A2">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16" w:name="_Toc184843548"/>
      <w:r>
        <w:rPr>
          <w:rFonts w:hint="eastAsia" w:ascii="黑体" w:hAnsi="黑体" w:eastAsia="黑体" w:cs="Times New Roman"/>
          <w:color w:val="5B9BD5" w:themeColor="accent5"/>
          <w:kern w:val="44"/>
          <w:sz w:val="28"/>
          <w14:textFill>
            <w14:solidFill>
              <w14:schemeClr w14:val="accent5"/>
            </w14:solidFill>
          </w14:textFill>
        </w:rPr>
        <w:t>二</w:t>
      </w:r>
      <w:r>
        <w:rPr>
          <w:rFonts w:ascii="黑体" w:hAnsi="黑体" w:eastAsia="黑体" w:cs="Times New Roman"/>
          <w:color w:val="5B9BD5" w:themeColor="accent5"/>
          <w:kern w:val="44"/>
          <w:sz w:val="28"/>
          <w14:textFill>
            <w14:solidFill>
              <w14:schemeClr w14:val="accent5"/>
            </w14:solidFill>
          </w14:textFill>
        </w:rPr>
        <w:t>、行业动态</w:t>
      </w:r>
      <w:bookmarkEnd w:id="16"/>
    </w:p>
    <w:p w14:paraId="64DE5D9B">
      <w:pPr>
        <w:pStyle w:val="2"/>
        <w:numPr>
          <w:ilvl w:val="0"/>
          <w:numId w:val="3"/>
        </w:numPr>
        <w:rPr>
          <w:rFonts w:hint="eastAsia" w:ascii="仿宋" w:hAnsi="仿宋" w:cs="Arial"/>
          <w:color w:val="222222"/>
          <w:kern w:val="0"/>
          <w:szCs w:val="24"/>
          <w:shd w:val="clear" w:color="auto" w:fill="FFFFFF"/>
          <w:lang w:bidi="ar"/>
        </w:rPr>
      </w:pPr>
      <w:bookmarkStart w:id="17" w:name="_Toc184843549"/>
      <w:r>
        <w:rPr>
          <w:rFonts w:ascii="仿宋" w:hAnsi="仿宋" w:cs="Arial"/>
          <w:color w:val="222222"/>
          <w:kern w:val="0"/>
          <w:szCs w:val="24"/>
          <w:shd w:val="clear" w:color="auto" w:fill="FFFFFF"/>
          <w:lang w:bidi="ar"/>
        </w:rPr>
        <w:t>上海推介12号线洞泾停车场上盖综合开发</w:t>
      </w:r>
      <w:r>
        <w:rPr>
          <w:rFonts w:hint="eastAsia" w:ascii="仿宋" w:hAnsi="仿宋" w:cs="Arial"/>
          <w:color w:val="222222"/>
          <w:kern w:val="0"/>
          <w:szCs w:val="24"/>
          <w:shd w:val="clear" w:color="auto" w:fill="FFFFFF"/>
          <w:lang w:bidi="ar"/>
        </w:rPr>
        <w:t>和</w:t>
      </w:r>
      <w:r>
        <w:rPr>
          <w:rFonts w:ascii="仿宋" w:hAnsi="仿宋" w:cs="Arial"/>
          <w:color w:val="222222"/>
          <w:kern w:val="0"/>
          <w:szCs w:val="24"/>
          <w:shd w:val="clear" w:color="auto" w:fill="FFFFFF"/>
          <w:lang w:bidi="ar"/>
        </w:rPr>
        <w:t>马东动车所上盖综合开发</w:t>
      </w:r>
      <w:r>
        <w:rPr>
          <w:rFonts w:hint="eastAsia" w:ascii="仿宋" w:hAnsi="仿宋" w:cs="Arial"/>
          <w:color w:val="222222"/>
          <w:kern w:val="0"/>
          <w:szCs w:val="24"/>
          <w:shd w:val="clear" w:color="auto" w:fill="FFFFFF"/>
          <w:lang w:bidi="ar"/>
        </w:rPr>
        <w:t>项目</w:t>
      </w:r>
      <w:bookmarkEnd w:id="17"/>
    </w:p>
    <w:p w14:paraId="41B9F9C5">
      <w:pPr>
        <w:pStyle w:val="48"/>
        <w:ind w:firstLine="480"/>
        <w:rPr>
          <w:shd w:val="clear" w:color="auto" w:fill="FFFFFF"/>
          <w:lang w:bidi="ar"/>
        </w:rPr>
      </w:pPr>
      <w:r>
        <w:rPr>
          <w:rFonts w:hint="eastAsia"/>
          <w:shd w:val="clear" w:color="auto" w:fill="FFFFFF"/>
          <w:lang w:bidi="ar"/>
        </w:rPr>
        <w:t>上海市发展改革委介绍，为进一步激发社会资本投资活力，扩大有效益的投资，结合上海加快“五个中心”建设、构建现代化产业体系、保障城市安全运行等实际需求，在“投资中国·</w:t>
      </w:r>
      <w:r>
        <w:rPr>
          <w:shd w:val="clear" w:color="auto" w:fill="FFFFFF"/>
          <w:lang w:bidi="ar"/>
        </w:rPr>
        <w:t>2024</w:t>
      </w:r>
      <w:r>
        <w:rPr>
          <w:rFonts w:hint="eastAsia"/>
          <w:shd w:val="clear" w:color="auto" w:fill="FFFFFF"/>
          <w:lang w:bidi="ar"/>
        </w:rPr>
        <w:t>上海城市推介大会”上面向社会公开推介重点项目</w:t>
      </w:r>
      <w:r>
        <w:rPr>
          <w:shd w:val="clear" w:color="auto" w:fill="FFFFFF"/>
          <w:lang w:bidi="ar"/>
        </w:rPr>
        <w:t>27</w:t>
      </w:r>
      <w:r>
        <w:rPr>
          <w:rFonts w:hint="eastAsia"/>
          <w:shd w:val="clear" w:color="auto" w:fill="FFFFFF"/>
          <w:lang w:bidi="ar"/>
        </w:rPr>
        <w:t>个。其中</w:t>
      </w:r>
      <w:r>
        <w:rPr>
          <w:shd w:val="clear" w:color="auto" w:fill="FFFFFF"/>
          <w:lang w:bidi="ar"/>
        </w:rPr>
        <w:t>城市建设方面</w:t>
      </w:r>
      <w:r>
        <w:rPr>
          <w:rFonts w:hint="eastAsia"/>
          <w:shd w:val="clear" w:color="auto" w:fill="FFFFFF"/>
          <w:lang w:bidi="ar"/>
        </w:rPr>
        <w:t>，包括洞泾停车场上盖综合开发和</w:t>
      </w:r>
      <w:r>
        <w:rPr>
          <w:shd w:val="clear" w:color="auto" w:fill="FFFFFF"/>
          <w:lang w:bidi="ar"/>
        </w:rPr>
        <w:t>马东动车所上盖综合开发</w:t>
      </w:r>
      <w:r>
        <w:rPr>
          <w:rFonts w:hint="eastAsia"/>
          <w:shd w:val="clear" w:color="auto" w:fill="FFFFFF"/>
          <w:lang w:bidi="ar"/>
        </w:rPr>
        <w:t>项目。12号线洞泾停车场上盖总开发量32万平方米，业态包含商品住宅、租赁住宅、商业、办公，引入社会资本参与项目开发，总投资660000万元。</w:t>
      </w:r>
      <w:r>
        <w:rPr>
          <w:shd w:val="clear" w:color="auto" w:fill="FFFFFF"/>
          <w:lang w:bidi="ar"/>
        </w:rPr>
        <w:t>市域铁路马东动车所上盖开发总量35.4万平方米，业态包含商品住宅、商业、办公，</w:t>
      </w:r>
      <w:bookmarkStart w:id="18" w:name="_Hlk184843684"/>
      <w:r>
        <w:rPr>
          <w:shd w:val="clear" w:color="auto" w:fill="FFFFFF"/>
          <w:lang w:bidi="ar"/>
        </w:rPr>
        <w:t>引入社会资本参与项目开发</w:t>
      </w:r>
      <w:bookmarkEnd w:id="18"/>
      <w:r>
        <w:rPr>
          <w:rFonts w:hint="eastAsia"/>
          <w:shd w:val="clear" w:color="auto" w:fill="FFFFFF"/>
          <w:lang w:bidi="ar"/>
        </w:rPr>
        <w:t>，</w:t>
      </w:r>
      <w:r>
        <w:rPr>
          <w:shd w:val="clear" w:color="auto" w:fill="FFFFFF"/>
          <w:lang w:bidi="ar"/>
        </w:rPr>
        <w:t>总投资760000</w:t>
      </w:r>
      <w:r>
        <w:rPr>
          <w:rFonts w:hint="eastAsia"/>
          <w:shd w:val="clear" w:color="auto" w:fill="FFFFFF"/>
          <w:lang w:bidi="ar"/>
        </w:rPr>
        <w:t>万元。</w:t>
      </w:r>
    </w:p>
    <w:p w14:paraId="3F2E36A8">
      <w:pPr>
        <w:pStyle w:val="2"/>
        <w:numPr>
          <w:ilvl w:val="0"/>
          <w:numId w:val="3"/>
        </w:numPr>
        <w:rPr>
          <w:rFonts w:hint="eastAsia" w:ascii="仿宋" w:hAnsi="仿宋" w:cs="Arial"/>
          <w:color w:val="222222"/>
          <w:kern w:val="0"/>
          <w:szCs w:val="24"/>
          <w:shd w:val="clear" w:color="auto" w:fill="FFFFFF"/>
          <w:lang w:bidi="ar"/>
        </w:rPr>
      </w:pPr>
      <w:bookmarkStart w:id="19" w:name="_Toc184843550"/>
      <w:r>
        <w:rPr>
          <w:rFonts w:hint="eastAsia" w:ascii="仿宋" w:hAnsi="仿宋" w:cs="Arial"/>
          <w:color w:val="222222"/>
          <w:kern w:val="0"/>
          <w:szCs w:val="24"/>
          <w:shd w:val="clear" w:color="auto" w:fill="FFFFFF"/>
          <w:lang w:bidi="ar"/>
        </w:rPr>
        <w:t>上海市惠南地铁站综合体地块控制性详细规划方案出炉</w:t>
      </w:r>
      <w:bookmarkEnd w:id="19"/>
    </w:p>
    <w:p w14:paraId="6AF39FFF">
      <w:pPr>
        <w:pStyle w:val="48"/>
        <w:ind w:firstLine="480"/>
        <w:rPr>
          <w:rFonts w:hint="eastAsia" w:ascii="黑体" w:hAnsi="黑体" w:eastAsia="黑体" w:cs="Arial"/>
          <w:color w:val="222222"/>
          <w:shd w:val="clear" w:color="auto" w:fill="FFFFFF"/>
          <w:lang w:bidi="ar"/>
        </w:rPr>
      </w:pPr>
      <w:r>
        <w:rPr>
          <w:shd w:val="clear" w:color="auto" w:fill="FFFFFF"/>
          <w:lang w:bidi="ar"/>
        </w:rPr>
        <w:t>《上海市浦东新区惠南镇PDS3-0201单元M07、M08、M09、M10、M11街坊、PDS3-0205单元N街坊控制性详细规划局部调整》草案已进行公示。本次规划调整范围：东至南祝公路，南至人民东路，西至听晓路-惠南梅花路，北至拱为路，总用地面积约29.56公顷。惠南地铁站综合体地块功能定位于塑造集商业商务、文化娱乐、公交枢纽、品质居住和公共空间于一体的综合性地区中心。拱亮路以南、拱极路以北地块以公交枢纽、商业和办公混合功能为主；拱极路以南、规划路以北地块以办公商业和文化功能为主；拱亮路以北地块由办公商业功能为主调整为以居住和基础教育功能为主；规划路以南地块以现状保留住宅为主。M10-03与NA-02地块、M10-02与NA-02地块之间应衔接轨道交通预留接口设置两条地下连通道。M10-02、M10-03和NA-02地块分别与轨道交通站点相连通。鼓励拱极路南北两侧现状四处轨道交通出入口与NA-02、M10-02、M10-03地块进行一体化设计。</w:t>
      </w:r>
    </w:p>
    <w:p w14:paraId="06953218">
      <w:pPr>
        <w:pStyle w:val="2"/>
        <w:numPr>
          <w:ilvl w:val="0"/>
          <w:numId w:val="3"/>
        </w:numPr>
        <w:rPr>
          <w:rFonts w:hint="eastAsia" w:ascii="仿宋" w:hAnsi="仿宋" w:cs="Arial"/>
          <w:color w:val="222222"/>
          <w:kern w:val="0"/>
          <w:szCs w:val="24"/>
          <w:shd w:val="clear" w:color="auto" w:fill="FFFFFF"/>
          <w:lang w:bidi="ar"/>
        </w:rPr>
      </w:pPr>
      <w:bookmarkStart w:id="20" w:name="_Toc184843551"/>
      <w:r>
        <w:rPr>
          <w:rFonts w:hint="eastAsia" w:ascii="仿宋" w:hAnsi="仿宋" w:cs="Arial"/>
          <w:color w:val="222222"/>
          <w:kern w:val="0"/>
          <w:szCs w:val="24"/>
          <w:shd w:val="clear" w:color="auto" w:fill="FFFFFF"/>
          <w:lang w:bidi="ar"/>
        </w:rPr>
        <w:t>温州东枢纽站城综合体概念方案征集专家评审会顺利召开</w:t>
      </w:r>
      <w:bookmarkEnd w:id="20"/>
    </w:p>
    <w:p w14:paraId="358F8F56">
      <w:pPr>
        <w:pStyle w:val="48"/>
        <w:ind w:firstLine="480"/>
        <w:rPr>
          <w:rFonts w:hint="eastAsia" w:ascii="仿宋" w:hAnsi="仿宋" w:cs="Arial"/>
          <w:color w:val="222222"/>
          <w:shd w:val="clear" w:color="auto" w:fill="FFFFFF"/>
          <w:lang w:bidi="ar"/>
        </w:rPr>
      </w:pPr>
      <w:r>
        <w:rPr>
          <w:rFonts w:hint="eastAsia" w:ascii="仿宋" w:hAnsi="仿宋" w:cs="Arial"/>
          <w:color w:val="222222"/>
          <w:shd w:val="clear" w:color="auto" w:fill="FFFFFF"/>
          <w:lang w:bidi="ar"/>
        </w:rPr>
        <w:t>11月6日，温州市铁投集团协同市资规局组织召开温州东枢纽站城综合体概念方案征集专家评审会。全国工程勘察设计大师李晓江主持会议，温州市铁投集团党委书记、董事长朱三平出席并致欢迎词，来自城市规划、建筑设计、交通运输、产业发展等多个领域的专家团队受邀参加评审。温州东枢纽是国家高速铁路网“八纵八横”沿海通道的主枢纽之一，是温州打造全国性综合交通枢纽，提升温州城市能级的标志性项目，对温州加快推进中心城区一体化发展、打造浙江高质量发展第三极具有重要的战略意义。</w:t>
      </w:r>
    </w:p>
    <w:p w14:paraId="4290D1FC">
      <w:pPr>
        <w:pStyle w:val="2"/>
        <w:numPr>
          <w:ilvl w:val="0"/>
          <w:numId w:val="3"/>
        </w:numPr>
        <w:rPr>
          <w:rFonts w:hint="eastAsia" w:ascii="仿宋" w:hAnsi="仿宋" w:cs="Arial"/>
          <w:color w:val="222222"/>
          <w:kern w:val="0"/>
          <w:szCs w:val="24"/>
          <w:shd w:val="clear" w:color="auto" w:fill="FFFFFF"/>
          <w:lang w:bidi="ar"/>
        </w:rPr>
      </w:pPr>
      <w:bookmarkStart w:id="21" w:name="_Toc184843552"/>
      <w:r>
        <w:rPr>
          <w:rFonts w:hint="eastAsia" w:ascii="仿宋" w:hAnsi="仿宋" w:cs="Arial"/>
          <w:color w:val="222222"/>
          <w:kern w:val="0"/>
          <w:szCs w:val="24"/>
          <w:shd w:val="clear" w:color="auto" w:fill="FFFFFF"/>
          <w:lang w:bidi="ar"/>
        </w:rPr>
        <w:t>截至2024年10月54个城市城轨交通运营里程达10455公里</w:t>
      </w:r>
      <w:bookmarkEnd w:id="21"/>
    </w:p>
    <w:p w14:paraId="4F3B62E9">
      <w:pPr>
        <w:pStyle w:val="48"/>
        <w:ind w:firstLine="480"/>
        <w:rPr>
          <w:rFonts w:hint="eastAsia" w:ascii="仿宋" w:hAnsi="仿宋" w:cs="Arial"/>
          <w:color w:val="222222"/>
          <w:shd w:val="clear" w:color="auto" w:fill="FFFFFF"/>
          <w:lang w:bidi="ar"/>
        </w:rPr>
      </w:pPr>
      <w:r>
        <w:rPr>
          <w:rFonts w:hint="eastAsia" w:ascii="仿宋" w:hAnsi="仿宋" w:cs="Arial"/>
          <w:color w:val="222222"/>
          <w:shd w:val="clear" w:color="auto" w:fill="FFFFFF"/>
          <w:lang w:bidi="ar"/>
        </w:rPr>
        <w:t>10月，31个省（自治区、直辖市）和新疆生产建设兵团共有54个城市开通运营城市</w:t>
      </w:r>
      <w:r>
        <w:rPr>
          <w:rFonts w:hint="eastAsia"/>
          <w:shd w:val="clear" w:color="auto" w:fill="FFFFFF"/>
          <w:lang w:bidi="ar"/>
        </w:rPr>
        <w:t>轨道</w:t>
      </w:r>
      <w:r>
        <w:rPr>
          <w:rFonts w:hint="eastAsia" w:ascii="仿宋" w:hAnsi="仿宋" w:cs="Arial"/>
          <w:color w:val="222222"/>
          <w:shd w:val="clear" w:color="auto" w:fill="FFFFFF"/>
          <w:lang w:bidi="ar"/>
        </w:rPr>
        <w:t>交通线路313条，运营里程10455.3公里，实际开行列车349万列次，完成客运量27.7亿人次，进站量16.5亿人次。10月份，客运量环比增加1.9亿人次，增长7.1%，同比增加1.1亿人次，增长4.2%。10月份全国总运营里程的平均客运强度为0.853万人次每公里日，环比增长3.3%，同比降低1.8%。其中，地铁、</w:t>
      </w:r>
      <w:r>
        <w:rPr>
          <w:rFonts w:hint="eastAsia"/>
          <w:shd w:val="clear" w:color="auto" w:fill="FFFFFF"/>
          <w:lang w:bidi="ar"/>
        </w:rPr>
        <w:t>轻轨</w:t>
      </w:r>
      <w:r>
        <w:rPr>
          <w:rFonts w:hint="eastAsia" w:ascii="仿宋" w:hAnsi="仿宋" w:cs="Arial"/>
          <w:color w:val="222222"/>
          <w:shd w:val="clear" w:color="auto" w:fill="FFFFFF"/>
          <w:lang w:bidi="ar"/>
        </w:rPr>
        <w:t>、市域快速轨道等大运量线路共273条，运营里程9758公里，完成客运量27.2亿人次，进站量16.1亿人次。本月新增运营里程14.8公里，新增运营区段1个，为武汉地铁7号线北延段（前川线）二期。</w:t>
      </w:r>
    </w:p>
    <w:p w14:paraId="39C0E3FD">
      <w:pPr>
        <w:pStyle w:val="2"/>
        <w:numPr>
          <w:ilvl w:val="0"/>
          <w:numId w:val="3"/>
        </w:numPr>
        <w:rPr>
          <w:rFonts w:hint="eastAsia" w:ascii="仿宋" w:hAnsi="仿宋" w:cs="Arial"/>
          <w:color w:val="222222"/>
          <w:kern w:val="0"/>
          <w:szCs w:val="24"/>
          <w:shd w:val="clear" w:color="auto" w:fill="FFFFFF"/>
          <w:lang w:bidi="ar"/>
        </w:rPr>
      </w:pPr>
      <w:bookmarkStart w:id="22" w:name="_Toc184843553"/>
      <w:r>
        <w:rPr>
          <w:rFonts w:hint="eastAsia" w:ascii="仿宋" w:hAnsi="仿宋" w:cs="Arial"/>
          <w:color w:val="222222"/>
          <w:kern w:val="0"/>
          <w:szCs w:val="24"/>
          <w:shd w:val="clear" w:color="auto" w:fill="FFFFFF"/>
          <w:lang w:bidi="ar"/>
        </w:rPr>
        <w:t>昆明轨道交通地下预留空间规划商业开发，充分挖掘地下空间资源潜力</w:t>
      </w:r>
      <w:bookmarkEnd w:id="22"/>
    </w:p>
    <w:p w14:paraId="39589FB1">
      <w:pPr>
        <w:pStyle w:val="48"/>
        <w:ind w:firstLine="480"/>
        <w:rPr>
          <w:rFonts w:hint="eastAsia" w:ascii="仿宋" w:hAnsi="仿宋" w:cs="Arial"/>
          <w:color w:val="222222"/>
          <w:shd w:val="clear" w:color="auto" w:fill="FFFFFF"/>
          <w:lang w:bidi="ar"/>
        </w:rPr>
      </w:pPr>
      <w:r>
        <w:rPr>
          <w:rFonts w:hint="eastAsia" w:ascii="仿宋" w:hAnsi="仿宋" w:cs="Arial"/>
          <w:color w:val="222222"/>
          <w:shd w:val="clear" w:color="auto" w:fill="FFFFFF"/>
          <w:lang w:bidi="ar"/>
        </w:rPr>
        <w:t>11月12日，昆明市自然资源和规划局发布</w:t>
      </w:r>
      <w:r>
        <w:rPr>
          <w:rFonts w:hint="eastAsia"/>
          <w:shd w:val="clear" w:color="auto" w:fill="FFFFFF"/>
          <w:lang w:bidi="ar"/>
        </w:rPr>
        <w:t>《昆明市轨道交通地下预留空间（第一批次）控制性详细规划（新编）》</w:t>
      </w:r>
      <w:r>
        <w:rPr>
          <w:rFonts w:hint="eastAsia" w:ascii="仿宋" w:hAnsi="仿宋" w:cs="Arial"/>
          <w:color w:val="222222"/>
          <w:shd w:val="clear" w:color="auto" w:fill="FFFFFF"/>
          <w:lang w:bidi="ar"/>
        </w:rPr>
        <w:t>公示。此次轨道交通地下预留空间控详规涉及东风广场站、塘子巷站、五一路站、火车北站、石咀站、金兰路站和迎海路站，所规划范围均将用作地下商业开发。随着昆明城市轨道发展、轨道交通网络形成，中心城区的地铁站点形成巨大客流，地下商业空间规模化、多样化发展成为必然趋势。此次昆明针对地铁客流密集站点开展轨道交通地下预留空间控制性详细规划编制，在统筹推进昆明地下空间合理开发利用、充分挖掘地下空间资源潜力的同时，将实现对轨道沿线商圈业态的重要补充。</w:t>
      </w:r>
    </w:p>
    <w:p w14:paraId="63BDA316">
      <w:pPr>
        <w:pStyle w:val="2"/>
        <w:numPr>
          <w:ilvl w:val="0"/>
          <w:numId w:val="3"/>
        </w:numPr>
        <w:rPr>
          <w:rFonts w:hint="eastAsia" w:ascii="仿宋" w:hAnsi="仿宋" w:cs="Arial"/>
          <w:color w:val="222222"/>
          <w:kern w:val="0"/>
          <w:szCs w:val="24"/>
          <w:shd w:val="clear" w:color="auto" w:fill="FFFFFF"/>
          <w:lang w:bidi="ar"/>
        </w:rPr>
      </w:pPr>
      <w:bookmarkStart w:id="23" w:name="_Toc184843554"/>
      <w:r>
        <w:rPr>
          <w:rFonts w:hint="eastAsia" w:ascii="仿宋" w:hAnsi="仿宋" w:cs="Arial"/>
          <w:color w:val="222222"/>
          <w:kern w:val="0"/>
          <w:szCs w:val="24"/>
          <w:shd w:val="clear" w:color="auto" w:fill="FFFFFF"/>
          <w:lang w:bidi="ar"/>
        </w:rPr>
        <w:t>广州市交规院取得基于客流效益和土地价值的站点功能级配优化方法专利</w:t>
      </w:r>
      <w:bookmarkEnd w:id="23"/>
    </w:p>
    <w:p w14:paraId="50EC0753">
      <w:pPr>
        <w:pStyle w:val="48"/>
        <w:ind w:firstLine="480"/>
        <w:rPr>
          <w:rFonts w:hint="eastAsia" w:ascii="仿宋" w:hAnsi="仿宋" w:cs="Arial"/>
          <w:color w:val="222222"/>
          <w:shd w:val="clear" w:color="auto" w:fill="FFFFFF"/>
          <w:lang w:bidi="ar"/>
        </w:rPr>
      </w:pPr>
      <w:r>
        <w:rPr>
          <w:rFonts w:hint="eastAsia" w:ascii="仿宋" w:hAnsi="仿宋" w:cs="Arial"/>
          <w:color w:val="222222"/>
          <w:shd w:val="clear" w:color="auto" w:fill="FFFFFF"/>
          <w:lang w:bidi="ar"/>
        </w:rPr>
        <w:t>11月13日消息，国家知识产权局信息显示，广州市交通规划研究院有限公司取得一项名为“一种基于客流效益和土地价值的站点功能级配优化方法”的专利，授权公告号 CN 117273212 B。该方法从城市轨道交通线路多站点视角出发，对多个站点周边开发进行协同优化。具体步骤包括提高客运强度，构建优化模型。以广州地铁5号线东延段为例，通过应用该方法，优化后东延段站点常住人口和就业岗位规模可提升55.3%，轨道客流综合指标提高7.9%。具体表现为客运强度提高11.1%，高峰小时进站系数和高峰单向最大断面不均衡系数分别降低3.4%和4.6%。</w:t>
      </w:r>
    </w:p>
    <w:p w14:paraId="544A94AD">
      <w:pPr>
        <w:pStyle w:val="48"/>
        <w:ind w:firstLine="0" w:firstLineChars="0"/>
        <w:rPr>
          <w:rFonts w:hint="eastAsia" w:ascii="仿宋" w:hAnsi="仿宋"/>
          <w:b/>
          <w:bCs/>
          <w:shd w:val="clear" w:color="auto" w:fill="FFFFFF"/>
          <w:lang w:bidi="ar"/>
        </w:rPr>
      </w:pPr>
    </w:p>
    <w:p w14:paraId="11A892FC">
      <w:pPr>
        <w:pStyle w:val="2"/>
        <w:keepLines/>
        <w:widowControl w:val="0"/>
        <w:spacing w:before="163" w:after="163"/>
        <w:rPr>
          <w:rFonts w:hint="eastAsia" w:ascii="仿宋" w:hAnsi="仿宋" w:cs="Times New Roman"/>
          <w:color w:val="5B9BD5" w:themeColor="accent5"/>
          <w:kern w:val="44"/>
          <w:sz w:val="28"/>
          <w14:textFill>
            <w14:solidFill>
              <w14:schemeClr w14:val="accent5"/>
            </w14:solidFill>
          </w14:textFill>
        </w:rPr>
        <w:sectPr>
          <w:pgSz w:w="11906" w:h="16838"/>
          <w:pgMar w:top="1440" w:right="1800" w:bottom="1440" w:left="1800" w:header="1474" w:footer="964" w:gutter="0"/>
          <w:cols w:space="425" w:num="1"/>
          <w:docGrid w:type="lines" w:linePitch="326" w:charSpace="0"/>
        </w:sectPr>
      </w:pPr>
    </w:p>
    <w:p w14:paraId="3D153877">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24" w:name="_Toc184843555"/>
      <w:r>
        <w:rPr>
          <w:rFonts w:hint="eastAsia" w:ascii="黑体" w:hAnsi="黑体" w:eastAsia="黑体" w:cs="Times New Roman"/>
          <w:color w:val="5B9BD5" w:themeColor="accent5"/>
          <w:kern w:val="44"/>
          <w:sz w:val="28"/>
          <w14:textFill>
            <w14:solidFill>
              <w14:schemeClr w14:val="accent5"/>
            </w14:solidFill>
          </w14:textFill>
        </w:rPr>
        <w:t>三</w:t>
      </w:r>
      <w:r>
        <w:rPr>
          <w:rFonts w:ascii="黑体" w:hAnsi="黑体" w:eastAsia="黑体" w:cs="Times New Roman"/>
          <w:color w:val="5B9BD5" w:themeColor="accent5"/>
          <w:kern w:val="44"/>
          <w:sz w:val="28"/>
          <w14:textFill>
            <w14:solidFill>
              <w14:schemeClr w14:val="accent5"/>
            </w14:solidFill>
          </w14:textFill>
        </w:rPr>
        <w:t>、企业动态</w:t>
      </w:r>
      <w:bookmarkEnd w:id="24"/>
    </w:p>
    <w:p w14:paraId="3FCA34EE">
      <w:pPr>
        <w:pStyle w:val="2"/>
        <w:numPr>
          <w:ilvl w:val="0"/>
          <w:numId w:val="4"/>
        </w:numPr>
        <w:rPr>
          <w:rFonts w:hint="eastAsia" w:ascii="仿宋" w:hAnsi="仿宋"/>
          <w:lang w:bidi="ar"/>
        </w:rPr>
      </w:pPr>
      <w:bookmarkStart w:id="25" w:name="_Toc184843556"/>
      <w:bookmarkStart w:id="26" w:name="_Hlk176338499"/>
      <w:bookmarkStart w:id="27" w:name="_Hlk157771138"/>
      <w:r>
        <w:rPr>
          <w:rFonts w:hint="eastAsia" w:ascii="仿宋" w:hAnsi="仿宋"/>
          <w:shd w:val="clear" w:color="auto" w:fill="FFFFFF"/>
          <w:lang w:bidi="ar"/>
        </w:rPr>
        <w:t>11月TOD土地成交2幅，厦门轨道和福州地铁各底价竞得一幅地块</w:t>
      </w:r>
      <w:bookmarkEnd w:id="25"/>
    </w:p>
    <w:bookmarkEnd w:id="26"/>
    <w:p w14:paraId="2909128A">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11月份TOD土地市场活跃度较上月有所降低，厦门和福州共成交2幅TOD地块，总用地面积约6万平方米，总建筑面积约13万平方米，总成交价为24.9亿元，均为底价成交</w:t>
      </w:r>
      <w:bookmarkStart w:id="28" w:name="OLE_LINK1"/>
      <w:r>
        <w:rPr>
          <w:rFonts w:hint="eastAsia" w:ascii="仿宋" w:hAnsi="仿宋" w:eastAsia="仿宋" w:cs="Arial"/>
          <w:color w:val="222222"/>
          <w:shd w:val="clear" w:color="auto" w:fill="FFFFFF"/>
          <w:lang w:bidi="ar"/>
        </w:rPr>
        <w:t>。</w:t>
      </w:r>
      <w:bookmarkEnd w:id="28"/>
      <w:r>
        <w:rPr>
          <w:rFonts w:hint="eastAsia" w:ascii="仿宋" w:hAnsi="仿宋" w:eastAsia="仿宋" w:cs="Arial"/>
          <w:color w:val="222222"/>
          <w:shd w:val="clear" w:color="auto" w:fill="FFFFFF"/>
          <w:lang w:bidi="ar"/>
        </w:rPr>
        <w:t>具体为：</w:t>
      </w:r>
    </w:p>
    <w:p w14:paraId="1347503F">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11月15日，厦门轨道集团以18.3亿元人民币竞得位于海沧区的H2024P02地块，该地块紧邻海沧中心TOD璞瑞、璞盛双项目，位于海沧CBD板块，土地面积27860平方米，规划建筑面积91950平方米，规划住宅套数不多于1195套。厦门轨道集团的成功竞得，进一步巩固了其在海沧湾的布局，形成了“一岛三子”的局面。</w:t>
      </w:r>
    </w:p>
    <w:p w14:paraId="2727EBC4">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11月22日，福州地铁置业有限公司以6.64亿元人民币成功竞得榕宗地2024-56号地块，该地块位于仓山区建新北路与闽江大道交叉口南侧，土地用途为住宅用地和商服（商业）用地。</w:t>
      </w:r>
      <w:r>
        <w:rPr>
          <w:rFonts w:ascii="仿宋" w:hAnsi="仿宋" w:eastAsia="仿宋" w:cs="Arial"/>
          <w:color w:val="222222"/>
          <w:shd w:val="clear" w:color="auto" w:fill="FFFFFF"/>
          <w:lang w:bidi="ar"/>
        </w:rPr>
        <w:t>土地面积33336平方米</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容积率1.0</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1.2</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出让公告约定，地块住宅建筑单套建筑面积（含公摊）大于144平方米（含144平方米）的住宅可建设立体生态住宅；市地铁集团在该地块位于建新北路与闽江大道交叉口一侧的首层，按照12000元/平方米回购商业建筑面积1000平方米。</w:t>
      </w:r>
    </w:p>
    <w:p w14:paraId="7E8C4C4A">
      <w:pPr>
        <w:ind w:firstLine="482"/>
        <w:jc w:val="center"/>
        <w:rPr>
          <w:rFonts w:hint="eastAsia" w:ascii="仿宋" w:hAnsi="仿宋"/>
          <w:b/>
          <w:bCs/>
        </w:rPr>
      </w:pPr>
      <w:r>
        <w:rPr>
          <w:rFonts w:hint="eastAsia" w:ascii="仿宋" w:hAnsi="仿宋"/>
          <w:b/>
          <w:bCs/>
        </w:rPr>
        <w:t>表：2</w:t>
      </w:r>
      <w:r>
        <w:rPr>
          <w:rFonts w:ascii="仿宋" w:hAnsi="仿宋"/>
          <w:b/>
          <w:bCs/>
        </w:rPr>
        <w:t>024</w:t>
      </w:r>
      <w:r>
        <w:rPr>
          <w:rFonts w:hint="eastAsia" w:ascii="仿宋" w:hAnsi="仿宋"/>
          <w:b/>
          <w:bCs/>
        </w:rPr>
        <w:t>年11月份典型城市T</w:t>
      </w:r>
      <w:r>
        <w:rPr>
          <w:rFonts w:ascii="仿宋" w:hAnsi="仿宋"/>
          <w:b/>
          <w:bCs/>
        </w:rPr>
        <w:t>OD</w:t>
      </w:r>
      <w:r>
        <w:rPr>
          <w:rFonts w:hint="eastAsia" w:ascii="仿宋" w:hAnsi="仿宋"/>
          <w:b/>
          <w:bCs/>
        </w:rPr>
        <w:t>地块成交信息</w:t>
      </w:r>
    </w:p>
    <w:p w14:paraId="044747C5">
      <w:pPr>
        <w:ind w:firstLine="440"/>
        <w:jc w:val="right"/>
        <w:rPr>
          <w:rFonts w:hint="eastAsia" w:ascii="仿宋" w:hAnsi="仿宋" w:cs="宋体"/>
          <w:kern w:val="0"/>
          <w:sz w:val="21"/>
          <w:szCs w:val="21"/>
        </w:rPr>
      </w:pPr>
      <w:r>
        <w:rPr>
          <w:rFonts w:hint="eastAsia" w:ascii="仿宋" w:hAnsi="仿宋"/>
          <w:sz w:val="22"/>
          <w:szCs w:val="21"/>
        </w:rPr>
        <w:t>单位：</w:t>
      </w:r>
      <w:r>
        <w:rPr>
          <w:rFonts w:hint="eastAsia" w:ascii="仿宋" w:hAnsi="仿宋" w:cs="宋体"/>
          <w:kern w:val="0"/>
          <w:sz w:val="21"/>
          <w:szCs w:val="21"/>
        </w:rPr>
        <w:t>㎡、万元</w:t>
      </w:r>
    </w:p>
    <w:tbl>
      <w:tblPr>
        <w:tblStyle w:val="56"/>
        <w:tblW w:w="5000" w:type="pct"/>
        <w:tblInd w:w="0" w:type="dxa"/>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Layout w:type="fixed"/>
        <w:tblCellMar>
          <w:top w:w="0" w:type="dxa"/>
          <w:left w:w="108" w:type="dxa"/>
          <w:bottom w:w="0" w:type="dxa"/>
          <w:right w:w="108" w:type="dxa"/>
        </w:tblCellMar>
      </w:tblPr>
      <w:tblGrid>
        <w:gridCol w:w="727"/>
        <w:gridCol w:w="1314"/>
        <w:gridCol w:w="1014"/>
        <w:gridCol w:w="1055"/>
        <w:gridCol w:w="952"/>
        <w:gridCol w:w="1076"/>
        <w:gridCol w:w="1432"/>
        <w:gridCol w:w="952"/>
      </w:tblGrid>
      <w:tr w14:paraId="61A5E74F">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80" w:hRule="atLeast"/>
        </w:trPr>
        <w:tc>
          <w:tcPr>
            <w:tcW w:w="426" w:type="pct"/>
            <w:tcBorders>
              <w:bottom w:val="single" w:color="9CC2E5" w:themeColor="accent5" w:themeTint="99" w:sz="12" w:space="0"/>
              <w:insideH w:val="single" w:sz="12" w:space="0"/>
            </w:tcBorders>
            <w:noWrap/>
          </w:tcPr>
          <w:p w14:paraId="2DC3A8C7">
            <w:pPr>
              <w:widowControl/>
              <w:spacing w:line="240" w:lineRule="auto"/>
              <w:ind w:firstLine="0" w:firstLineChars="0"/>
              <w:jc w:val="left"/>
              <w:rPr>
                <w:rFonts w:hint="eastAsia" w:ascii="仿宋" w:hAnsi="仿宋" w:cs="宋体"/>
                <w:b/>
                <w:bCs/>
                <w:color w:val="000000"/>
                <w:kern w:val="0"/>
                <w:sz w:val="20"/>
                <w:szCs w:val="20"/>
              </w:rPr>
            </w:pPr>
            <w:r>
              <w:rPr>
                <w:rFonts w:hint="eastAsia" w:ascii="仿宋" w:hAnsi="仿宋" w:cs="宋体"/>
                <w:b/>
                <w:bCs/>
                <w:color w:val="000000"/>
                <w:kern w:val="0"/>
                <w:sz w:val="20"/>
                <w:szCs w:val="20"/>
              </w:rPr>
              <w:t>城市</w:t>
            </w:r>
          </w:p>
        </w:tc>
        <w:tc>
          <w:tcPr>
            <w:tcW w:w="771" w:type="pct"/>
            <w:tcBorders>
              <w:bottom w:val="single" w:color="9CC2E5" w:themeColor="accent5" w:themeTint="99" w:sz="12" w:space="0"/>
              <w:insideH w:val="single" w:sz="12" w:space="0"/>
            </w:tcBorders>
            <w:noWrap/>
          </w:tcPr>
          <w:p w14:paraId="462E9BDB">
            <w:pPr>
              <w:widowControl/>
              <w:spacing w:line="240" w:lineRule="auto"/>
              <w:ind w:firstLine="0" w:firstLineChars="0"/>
              <w:jc w:val="left"/>
              <w:rPr>
                <w:rFonts w:hint="eastAsia" w:ascii="仿宋" w:hAnsi="仿宋" w:cs="宋体"/>
                <w:b/>
                <w:bCs/>
                <w:color w:val="000000"/>
                <w:kern w:val="0"/>
                <w:sz w:val="20"/>
                <w:szCs w:val="20"/>
              </w:rPr>
            </w:pPr>
            <w:r>
              <w:rPr>
                <w:rFonts w:hint="eastAsia" w:ascii="仿宋" w:hAnsi="仿宋" w:cs="宋体"/>
                <w:b/>
                <w:bCs/>
                <w:color w:val="000000"/>
                <w:kern w:val="0"/>
                <w:sz w:val="20"/>
                <w:szCs w:val="20"/>
              </w:rPr>
              <w:t>土地名称</w:t>
            </w:r>
          </w:p>
        </w:tc>
        <w:tc>
          <w:tcPr>
            <w:tcW w:w="595" w:type="pct"/>
            <w:tcBorders>
              <w:bottom w:val="single" w:color="9CC2E5" w:themeColor="accent5" w:themeTint="99" w:sz="12" w:space="0"/>
              <w:insideH w:val="single" w:sz="12" w:space="0"/>
            </w:tcBorders>
            <w:noWrap/>
          </w:tcPr>
          <w:p w14:paraId="051DF7EE">
            <w:pPr>
              <w:widowControl/>
              <w:spacing w:line="240" w:lineRule="auto"/>
              <w:ind w:firstLine="0" w:firstLineChars="0"/>
              <w:jc w:val="left"/>
              <w:rPr>
                <w:rFonts w:hint="eastAsia" w:ascii="仿宋" w:hAnsi="仿宋" w:cs="宋体"/>
                <w:b/>
                <w:bCs/>
                <w:color w:val="000000"/>
                <w:kern w:val="0"/>
                <w:sz w:val="20"/>
                <w:szCs w:val="20"/>
              </w:rPr>
            </w:pPr>
            <w:r>
              <w:rPr>
                <w:rFonts w:hint="eastAsia" w:ascii="仿宋" w:hAnsi="仿宋" w:cs="宋体"/>
                <w:b/>
                <w:bCs/>
                <w:color w:val="000000"/>
                <w:kern w:val="0"/>
                <w:sz w:val="20"/>
                <w:szCs w:val="20"/>
              </w:rPr>
              <w:t>土地属性</w:t>
            </w:r>
          </w:p>
        </w:tc>
        <w:tc>
          <w:tcPr>
            <w:tcW w:w="619" w:type="pct"/>
            <w:tcBorders>
              <w:bottom w:val="single" w:color="9CC2E5" w:themeColor="accent5" w:themeTint="99" w:sz="12" w:space="0"/>
              <w:insideH w:val="single" w:sz="12" w:space="0"/>
            </w:tcBorders>
            <w:noWrap/>
          </w:tcPr>
          <w:p w14:paraId="69BD10FE">
            <w:pPr>
              <w:widowControl/>
              <w:spacing w:line="240" w:lineRule="auto"/>
              <w:ind w:firstLine="0" w:firstLineChars="0"/>
              <w:jc w:val="left"/>
              <w:rPr>
                <w:rFonts w:hint="eastAsia" w:ascii="仿宋" w:hAnsi="仿宋" w:cs="宋体"/>
                <w:b/>
                <w:bCs/>
                <w:color w:val="000000"/>
                <w:kern w:val="0"/>
                <w:sz w:val="20"/>
                <w:szCs w:val="20"/>
              </w:rPr>
            </w:pPr>
            <w:r>
              <w:rPr>
                <w:rFonts w:hint="eastAsia" w:ascii="仿宋" w:hAnsi="仿宋" w:cs="宋体"/>
                <w:b/>
                <w:bCs/>
                <w:color w:val="000000"/>
                <w:kern w:val="0"/>
                <w:sz w:val="20"/>
                <w:szCs w:val="20"/>
              </w:rPr>
              <w:t>用地面积(㎡)</w:t>
            </w:r>
          </w:p>
        </w:tc>
        <w:tc>
          <w:tcPr>
            <w:tcW w:w="559" w:type="pct"/>
            <w:tcBorders>
              <w:bottom w:val="single" w:color="9CC2E5" w:themeColor="accent5" w:themeTint="99" w:sz="12" w:space="0"/>
              <w:insideH w:val="single" w:sz="12" w:space="0"/>
            </w:tcBorders>
            <w:noWrap/>
          </w:tcPr>
          <w:p w14:paraId="1541CE92">
            <w:pPr>
              <w:widowControl/>
              <w:spacing w:line="240" w:lineRule="auto"/>
              <w:ind w:firstLine="0" w:firstLineChars="0"/>
              <w:jc w:val="left"/>
              <w:rPr>
                <w:rFonts w:hint="eastAsia" w:ascii="仿宋" w:hAnsi="仿宋" w:cs="宋体"/>
                <w:b/>
                <w:bCs/>
                <w:color w:val="000000"/>
                <w:kern w:val="0"/>
                <w:sz w:val="20"/>
                <w:szCs w:val="20"/>
              </w:rPr>
            </w:pPr>
            <w:r>
              <w:rPr>
                <w:rFonts w:hint="eastAsia" w:ascii="仿宋" w:hAnsi="仿宋" w:cs="宋体"/>
                <w:b/>
                <w:bCs/>
                <w:color w:val="000000"/>
                <w:kern w:val="0"/>
                <w:sz w:val="20"/>
                <w:szCs w:val="20"/>
              </w:rPr>
              <w:t>规划建面(㎡)</w:t>
            </w:r>
          </w:p>
        </w:tc>
        <w:tc>
          <w:tcPr>
            <w:tcW w:w="631" w:type="pct"/>
            <w:tcBorders>
              <w:bottom w:val="single" w:color="9CC2E5" w:themeColor="accent5" w:themeTint="99" w:sz="12" w:space="0"/>
              <w:insideH w:val="single" w:sz="12" w:space="0"/>
            </w:tcBorders>
            <w:noWrap/>
          </w:tcPr>
          <w:p w14:paraId="189E78E7">
            <w:pPr>
              <w:widowControl/>
              <w:spacing w:line="240" w:lineRule="auto"/>
              <w:ind w:firstLine="0" w:firstLineChars="0"/>
              <w:jc w:val="left"/>
              <w:rPr>
                <w:rFonts w:hint="eastAsia" w:ascii="仿宋" w:hAnsi="仿宋" w:cs="宋体"/>
                <w:b/>
                <w:bCs/>
                <w:color w:val="000000"/>
                <w:kern w:val="0"/>
                <w:sz w:val="20"/>
                <w:szCs w:val="20"/>
              </w:rPr>
            </w:pPr>
            <w:r>
              <w:rPr>
                <w:rFonts w:hint="eastAsia" w:ascii="仿宋" w:hAnsi="仿宋" w:cs="宋体"/>
                <w:b/>
                <w:bCs/>
                <w:color w:val="000000"/>
                <w:kern w:val="0"/>
                <w:sz w:val="20"/>
                <w:szCs w:val="20"/>
              </w:rPr>
              <w:t>成交总价(万元)</w:t>
            </w:r>
          </w:p>
        </w:tc>
        <w:tc>
          <w:tcPr>
            <w:tcW w:w="840" w:type="pct"/>
            <w:tcBorders>
              <w:bottom w:val="single" w:color="9CC2E5" w:themeColor="accent5" w:themeTint="99" w:sz="12" w:space="0"/>
              <w:insideH w:val="single" w:sz="12" w:space="0"/>
            </w:tcBorders>
            <w:noWrap/>
          </w:tcPr>
          <w:p w14:paraId="60250D85">
            <w:pPr>
              <w:widowControl/>
              <w:spacing w:line="240" w:lineRule="auto"/>
              <w:ind w:firstLine="0" w:firstLineChars="0"/>
              <w:jc w:val="left"/>
              <w:rPr>
                <w:rFonts w:hint="eastAsia" w:ascii="仿宋" w:hAnsi="仿宋" w:cs="宋体"/>
                <w:b/>
                <w:bCs/>
                <w:color w:val="000000"/>
                <w:kern w:val="0"/>
                <w:sz w:val="20"/>
                <w:szCs w:val="20"/>
              </w:rPr>
            </w:pPr>
            <w:r>
              <w:rPr>
                <w:rFonts w:hint="eastAsia" w:ascii="仿宋" w:hAnsi="仿宋" w:cs="宋体"/>
                <w:b/>
                <w:bCs/>
                <w:color w:val="000000"/>
                <w:kern w:val="0"/>
                <w:sz w:val="20"/>
                <w:szCs w:val="20"/>
              </w:rPr>
              <w:t>竞得企业</w:t>
            </w:r>
          </w:p>
        </w:tc>
        <w:tc>
          <w:tcPr>
            <w:tcW w:w="561" w:type="pct"/>
            <w:tcBorders>
              <w:bottom w:val="single" w:color="9CC2E5" w:themeColor="accent5" w:themeTint="99" w:sz="12" w:space="0"/>
              <w:insideH w:val="single" w:sz="12" w:space="0"/>
            </w:tcBorders>
            <w:noWrap/>
          </w:tcPr>
          <w:p w14:paraId="0884971D">
            <w:pPr>
              <w:widowControl/>
              <w:spacing w:line="240" w:lineRule="auto"/>
              <w:ind w:firstLine="0" w:firstLineChars="0"/>
              <w:jc w:val="left"/>
              <w:rPr>
                <w:rFonts w:hint="eastAsia" w:ascii="仿宋" w:hAnsi="仿宋" w:cs="宋体"/>
                <w:b/>
                <w:bCs/>
                <w:color w:val="000000"/>
                <w:kern w:val="0"/>
                <w:sz w:val="20"/>
                <w:szCs w:val="20"/>
              </w:rPr>
            </w:pPr>
            <w:r>
              <w:rPr>
                <w:rFonts w:hint="eastAsia" w:ascii="仿宋" w:hAnsi="仿宋" w:cs="宋体"/>
                <w:b/>
                <w:bCs/>
                <w:color w:val="000000"/>
                <w:kern w:val="0"/>
                <w:sz w:val="20"/>
                <w:szCs w:val="20"/>
              </w:rPr>
              <w:t>成交日期</w:t>
            </w:r>
          </w:p>
        </w:tc>
      </w:tr>
      <w:tr w14:paraId="26E00201">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80" w:hRule="atLeast"/>
        </w:trPr>
        <w:tc>
          <w:tcPr>
            <w:tcW w:w="426" w:type="pct"/>
            <w:noWrap/>
          </w:tcPr>
          <w:p w14:paraId="0EF80B58">
            <w:pPr>
              <w:widowControl/>
              <w:spacing w:line="240" w:lineRule="auto"/>
              <w:ind w:firstLine="0" w:firstLineChars="0"/>
              <w:jc w:val="left"/>
              <w:rPr>
                <w:rFonts w:hint="eastAsia" w:ascii="仿宋" w:hAnsi="仿宋" w:cs="宋体"/>
                <w:b/>
                <w:bCs/>
                <w:color w:val="000000"/>
                <w:kern w:val="0"/>
                <w:sz w:val="20"/>
                <w:szCs w:val="20"/>
              </w:rPr>
            </w:pPr>
            <w:r>
              <w:rPr>
                <w:rFonts w:hint="eastAsia" w:ascii="仿宋" w:hAnsi="仿宋" w:cs="宋体"/>
                <w:b/>
                <w:bCs/>
                <w:color w:val="000000"/>
                <w:kern w:val="0"/>
                <w:sz w:val="20"/>
                <w:szCs w:val="20"/>
              </w:rPr>
              <w:t>厦门</w:t>
            </w:r>
          </w:p>
        </w:tc>
        <w:tc>
          <w:tcPr>
            <w:tcW w:w="771" w:type="pct"/>
            <w:noWrap/>
          </w:tcPr>
          <w:p w14:paraId="5CD7F447">
            <w:pPr>
              <w:widowControl/>
              <w:spacing w:line="240" w:lineRule="auto"/>
              <w:ind w:firstLine="0" w:firstLineChars="0"/>
              <w:jc w:val="left"/>
              <w:rPr>
                <w:rFonts w:hint="eastAsia" w:ascii="仿宋" w:hAnsi="仿宋" w:cs="宋体"/>
                <w:color w:val="000000"/>
                <w:kern w:val="0"/>
                <w:sz w:val="20"/>
                <w:szCs w:val="20"/>
              </w:rPr>
            </w:pPr>
            <w:r>
              <w:rPr>
                <w:rFonts w:hint="eastAsia" w:ascii="仿宋" w:hAnsi="仿宋" w:cs="宋体"/>
                <w:color w:val="000000"/>
                <w:kern w:val="0"/>
                <w:sz w:val="20"/>
                <w:szCs w:val="20"/>
              </w:rPr>
              <w:t>2024第075号</w:t>
            </w:r>
            <w:bookmarkStart w:id="29" w:name="_Hlk184826233"/>
            <w:r>
              <w:rPr>
                <w:rFonts w:hint="eastAsia" w:ascii="仿宋" w:hAnsi="仿宋" w:cs="宋体"/>
                <w:color w:val="000000"/>
                <w:kern w:val="0"/>
                <w:sz w:val="20"/>
                <w:szCs w:val="20"/>
              </w:rPr>
              <w:t>海沧区H2024P02</w:t>
            </w:r>
            <w:bookmarkEnd w:id="29"/>
          </w:p>
        </w:tc>
        <w:tc>
          <w:tcPr>
            <w:tcW w:w="595" w:type="pct"/>
            <w:noWrap/>
          </w:tcPr>
          <w:p w14:paraId="63C3224E">
            <w:pPr>
              <w:widowControl/>
              <w:spacing w:line="240" w:lineRule="auto"/>
              <w:ind w:firstLine="0" w:firstLineChars="0"/>
              <w:jc w:val="left"/>
              <w:rPr>
                <w:rFonts w:hint="eastAsia" w:ascii="仿宋" w:hAnsi="仿宋" w:cs="宋体"/>
                <w:color w:val="000000"/>
                <w:kern w:val="0"/>
                <w:sz w:val="20"/>
                <w:szCs w:val="20"/>
              </w:rPr>
            </w:pPr>
            <w:r>
              <w:rPr>
                <w:rFonts w:hint="eastAsia" w:ascii="仿宋" w:hAnsi="仿宋" w:cs="宋体"/>
                <w:color w:val="000000"/>
                <w:kern w:val="0"/>
                <w:sz w:val="20"/>
                <w:szCs w:val="20"/>
              </w:rPr>
              <w:t>商住</w:t>
            </w:r>
          </w:p>
        </w:tc>
        <w:tc>
          <w:tcPr>
            <w:tcW w:w="619" w:type="pct"/>
            <w:noWrap/>
          </w:tcPr>
          <w:p w14:paraId="5007F45C">
            <w:pPr>
              <w:widowControl/>
              <w:spacing w:line="240" w:lineRule="auto"/>
              <w:ind w:firstLine="0" w:firstLineChars="0"/>
              <w:jc w:val="right"/>
              <w:rPr>
                <w:rFonts w:hint="eastAsia" w:ascii="仿宋" w:hAnsi="仿宋" w:cs="宋体"/>
                <w:color w:val="000000"/>
                <w:kern w:val="0"/>
                <w:sz w:val="20"/>
                <w:szCs w:val="20"/>
              </w:rPr>
            </w:pPr>
            <w:r>
              <w:rPr>
                <w:rFonts w:hint="eastAsia" w:ascii="仿宋" w:hAnsi="仿宋" w:cs="宋体"/>
                <w:color w:val="000000"/>
                <w:kern w:val="0"/>
                <w:sz w:val="20"/>
                <w:szCs w:val="20"/>
              </w:rPr>
              <w:t>27,860</w:t>
            </w:r>
          </w:p>
        </w:tc>
        <w:tc>
          <w:tcPr>
            <w:tcW w:w="559" w:type="pct"/>
            <w:noWrap/>
          </w:tcPr>
          <w:p w14:paraId="5C364815">
            <w:pPr>
              <w:widowControl/>
              <w:spacing w:line="240" w:lineRule="auto"/>
              <w:ind w:firstLine="0" w:firstLineChars="0"/>
              <w:jc w:val="right"/>
              <w:rPr>
                <w:rFonts w:hint="eastAsia" w:ascii="仿宋" w:hAnsi="仿宋" w:cs="宋体"/>
                <w:color w:val="000000"/>
                <w:kern w:val="0"/>
                <w:sz w:val="20"/>
                <w:szCs w:val="20"/>
              </w:rPr>
            </w:pPr>
            <w:r>
              <w:rPr>
                <w:rFonts w:hint="eastAsia" w:ascii="仿宋" w:hAnsi="仿宋" w:cs="宋体"/>
                <w:color w:val="000000"/>
                <w:kern w:val="0"/>
                <w:sz w:val="20"/>
                <w:szCs w:val="20"/>
              </w:rPr>
              <w:t>91,950</w:t>
            </w:r>
          </w:p>
        </w:tc>
        <w:tc>
          <w:tcPr>
            <w:tcW w:w="631" w:type="pct"/>
            <w:noWrap/>
          </w:tcPr>
          <w:p w14:paraId="29784597">
            <w:pPr>
              <w:widowControl/>
              <w:spacing w:line="240" w:lineRule="auto"/>
              <w:ind w:firstLine="0" w:firstLineChars="0"/>
              <w:jc w:val="right"/>
              <w:rPr>
                <w:rFonts w:hint="eastAsia" w:ascii="仿宋" w:hAnsi="仿宋" w:cs="宋体"/>
                <w:color w:val="000000"/>
                <w:kern w:val="0"/>
                <w:sz w:val="20"/>
                <w:szCs w:val="20"/>
              </w:rPr>
            </w:pPr>
            <w:r>
              <w:rPr>
                <w:rFonts w:hint="eastAsia" w:ascii="仿宋" w:hAnsi="仿宋" w:cs="宋体"/>
                <w:color w:val="000000"/>
                <w:kern w:val="0"/>
                <w:sz w:val="20"/>
                <w:szCs w:val="20"/>
              </w:rPr>
              <w:t>183,000</w:t>
            </w:r>
          </w:p>
        </w:tc>
        <w:tc>
          <w:tcPr>
            <w:tcW w:w="840" w:type="pct"/>
            <w:noWrap/>
          </w:tcPr>
          <w:p w14:paraId="0F696A24">
            <w:pPr>
              <w:widowControl/>
              <w:spacing w:line="240" w:lineRule="auto"/>
              <w:ind w:firstLine="0" w:firstLineChars="0"/>
              <w:jc w:val="left"/>
              <w:rPr>
                <w:rFonts w:hint="eastAsia" w:ascii="仿宋" w:hAnsi="仿宋" w:cs="宋体"/>
                <w:color w:val="000000"/>
                <w:kern w:val="0"/>
                <w:sz w:val="20"/>
                <w:szCs w:val="20"/>
              </w:rPr>
            </w:pPr>
            <w:r>
              <w:rPr>
                <w:rFonts w:hint="eastAsia" w:ascii="仿宋" w:hAnsi="仿宋" w:cs="宋体"/>
                <w:color w:val="000000"/>
                <w:kern w:val="0"/>
                <w:sz w:val="20"/>
                <w:szCs w:val="20"/>
              </w:rPr>
              <w:t>厦门轨道交通集团有限公司</w:t>
            </w:r>
          </w:p>
        </w:tc>
        <w:tc>
          <w:tcPr>
            <w:tcW w:w="561" w:type="pct"/>
            <w:noWrap/>
          </w:tcPr>
          <w:p w14:paraId="5A19B274">
            <w:pPr>
              <w:widowControl/>
              <w:spacing w:line="240" w:lineRule="auto"/>
              <w:ind w:firstLine="0" w:firstLineChars="0"/>
              <w:jc w:val="left"/>
              <w:rPr>
                <w:rFonts w:hint="eastAsia" w:ascii="仿宋" w:hAnsi="仿宋" w:cs="宋体"/>
                <w:color w:val="000000"/>
                <w:kern w:val="0"/>
                <w:sz w:val="20"/>
                <w:szCs w:val="20"/>
              </w:rPr>
            </w:pPr>
            <w:r>
              <w:rPr>
                <w:rFonts w:hint="eastAsia" w:ascii="仿宋" w:hAnsi="仿宋" w:cs="宋体"/>
                <w:color w:val="000000"/>
                <w:kern w:val="0"/>
                <w:sz w:val="20"/>
                <w:szCs w:val="20"/>
              </w:rPr>
              <w:t>11-15</w:t>
            </w:r>
          </w:p>
        </w:tc>
      </w:tr>
      <w:tr w14:paraId="434F7375">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80" w:hRule="atLeast"/>
        </w:trPr>
        <w:tc>
          <w:tcPr>
            <w:tcW w:w="426" w:type="pct"/>
            <w:noWrap/>
          </w:tcPr>
          <w:p w14:paraId="1FFACCCB">
            <w:pPr>
              <w:widowControl/>
              <w:spacing w:line="240" w:lineRule="auto"/>
              <w:ind w:firstLine="0" w:firstLineChars="0"/>
              <w:jc w:val="left"/>
              <w:rPr>
                <w:rFonts w:hint="eastAsia" w:ascii="仿宋" w:hAnsi="仿宋" w:cs="宋体"/>
                <w:b/>
                <w:bCs/>
                <w:color w:val="000000"/>
                <w:kern w:val="0"/>
                <w:sz w:val="20"/>
                <w:szCs w:val="20"/>
              </w:rPr>
            </w:pPr>
            <w:r>
              <w:rPr>
                <w:rFonts w:hint="eastAsia" w:ascii="仿宋" w:hAnsi="仿宋" w:cs="宋体"/>
                <w:b/>
                <w:bCs/>
                <w:color w:val="000000"/>
                <w:kern w:val="0"/>
                <w:sz w:val="20"/>
                <w:szCs w:val="20"/>
              </w:rPr>
              <w:t>福州</w:t>
            </w:r>
          </w:p>
        </w:tc>
        <w:tc>
          <w:tcPr>
            <w:tcW w:w="771" w:type="pct"/>
            <w:noWrap/>
          </w:tcPr>
          <w:p w14:paraId="738F5778">
            <w:pPr>
              <w:widowControl/>
              <w:spacing w:line="240" w:lineRule="auto"/>
              <w:ind w:firstLine="0" w:firstLineChars="0"/>
              <w:jc w:val="left"/>
              <w:rPr>
                <w:rFonts w:hint="eastAsia" w:ascii="仿宋" w:hAnsi="仿宋" w:cs="宋体"/>
                <w:color w:val="000000"/>
                <w:kern w:val="0"/>
                <w:sz w:val="20"/>
                <w:szCs w:val="20"/>
              </w:rPr>
            </w:pPr>
            <w:r>
              <w:rPr>
                <w:rFonts w:hint="eastAsia" w:ascii="仿宋" w:hAnsi="仿宋" w:cs="宋体"/>
                <w:color w:val="000000"/>
                <w:kern w:val="0"/>
                <w:sz w:val="20"/>
                <w:szCs w:val="20"/>
              </w:rPr>
              <w:t>榕宗地2024-56号（住）地块</w:t>
            </w:r>
          </w:p>
        </w:tc>
        <w:tc>
          <w:tcPr>
            <w:tcW w:w="595" w:type="pct"/>
            <w:noWrap/>
          </w:tcPr>
          <w:p w14:paraId="5D1B7A9F">
            <w:pPr>
              <w:widowControl/>
              <w:spacing w:line="240" w:lineRule="auto"/>
              <w:ind w:firstLine="0" w:firstLineChars="0"/>
              <w:jc w:val="left"/>
              <w:rPr>
                <w:rFonts w:hint="eastAsia" w:ascii="仿宋" w:hAnsi="仿宋" w:cs="宋体"/>
                <w:color w:val="000000"/>
                <w:kern w:val="0"/>
                <w:sz w:val="20"/>
                <w:szCs w:val="20"/>
              </w:rPr>
            </w:pPr>
            <w:r>
              <w:rPr>
                <w:rFonts w:hint="eastAsia" w:ascii="仿宋" w:hAnsi="仿宋" w:cs="宋体"/>
                <w:color w:val="000000"/>
                <w:kern w:val="0"/>
                <w:sz w:val="20"/>
                <w:szCs w:val="20"/>
              </w:rPr>
              <w:t>住宅、商业</w:t>
            </w:r>
          </w:p>
        </w:tc>
        <w:tc>
          <w:tcPr>
            <w:tcW w:w="619" w:type="pct"/>
            <w:noWrap/>
          </w:tcPr>
          <w:p w14:paraId="023C127D">
            <w:pPr>
              <w:widowControl/>
              <w:spacing w:line="240" w:lineRule="auto"/>
              <w:ind w:firstLine="0" w:firstLineChars="0"/>
              <w:jc w:val="right"/>
              <w:rPr>
                <w:rFonts w:hint="eastAsia" w:ascii="仿宋" w:hAnsi="仿宋" w:cs="宋体"/>
                <w:color w:val="000000"/>
                <w:kern w:val="0"/>
                <w:sz w:val="20"/>
                <w:szCs w:val="20"/>
              </w:rPr>
            </w:pPr>
            <w:r>
              <w:rPr>
                <w:rFonts w:hint="eastAsia" w:ascii="仿宋" w:hAnsi="仿宋" w:cs="宋体"/>
                <w:color w:val="000000"/>
                <w:kern w:val="0"/>
                <w:sz w:val="20"/>
                <w:szCs w:val="20"/>
              </w:rPr>
              <w:t>33,336</w:t>
            </w:r>
          </w:p>
        </w:tc>
        <w:tc>
          <w:tcPr>
            <w:tcW w:w="559" w:type="pct"/>
            <w:noWrap/>
          </w:tcPr>
          <w:p w14:paraId="559DE807">
            <w:pPr>
              <w:widowControl/>
              <w:spacing w:line="240" w:lineRule="auto"/>
              <w:ind w:firstLine="0" w:firstLineChars="0"/>
              <w:jc w:val="right"/>
              <w:rPr>
                <w:rFonts w:hint="eastAsia" w:ascii="仿宋" w:hAnsi="仿宋" w:cs="宋体"/>
                <w:color w:val="000000"/>
                <w:kern w:val="0"/>
                <w:sz w:val="20"/>
                <w:szCs w:val="20"/>
              </w:rPr>
            </w:pPr>
            <w:r>
              <w:rPr>
                <w:rFonts w:hint="eastAsia" w:ascii="仿宋" w:hAnsi="仿宋" w:cs="宋体"/>
                <w:color w:val="000000"/>
                <w:kern w:val="0"/>
                <w:sz w:val="20"/>
                <w:szCs w:val="20"/>
              </w:rPr>
              <w:t>40,003</w:t>
            </w:r>
          </w:p>
        </w:tc>
        <w:tc>
          <w:tcPr>
            <w:tcW w:w="631" w:type="pct"/>
            <w:noWrap/>
          </w:tcPr>
          <w:p w14:paraId="25DB2B3D">
            <w:pPr>
              <w:widowControl/>
              <w:spacing w:line="240" w:lineRule="auto"/>
              <w:ind w:firstLine="0" w:firstLineChars="0"/>
              <w:jc w:val="right"/>
              <w:rPr>
                <w:rFonts w:hint="eastAsia" w:ascii="仿宋" w:hAnsi="仿宋" w:cs="宋体"/>
                <w:color w:val="000000"/>
                <w:kern w:val="0"/>
                <w:sz w:val="20"/>
                <w:szCs w:val="20"/>
              </w:rPr>
            </w:pPr>
            <w:r>
              <w:rPr>
                <w:rFonts w:hint="eastAsia" w:ascii="仿宋" w:hAnsi="仿宋" w:cs="宋体"/>
                <w:color w:val="000000"/>
                <w:kern w:val="0"/>
                <w:sz w:val="20"/>
                <w:szCs w:val="20"/>
              </w:rPr>
              <w:t>66,400</w:t>
            </w:r>
          </w:p>
        </w:tc>
        <w:tc>
          <w:tcPr>
            <w:tcW w:w="840" w:type="pct"/>
            <w:noWrap/>
          </w:tcPr>
          <w:p w14:paraId="512D6AB5">
            <w:pPr>
              <w:widowControl/>
              <w:spacing w:line="240" w:lineRule="auto"/>
              <w:ind w:firstLine="0" w:firstLineChars="0"/>
              <w:jc w:val="left"/>
              <w:rPr>
                <w:rFonts w:hint="eastAsia" w:ascii="仿宋" w:hAnsi="仿宋" w:cs="宋体"/>
                <w:color w:val="000000"/>
                <w:kern w:val="0"/>
                <w:sz w:val="20"/>
                <w:szCs w:val="20"/>
              </w:rPr>
            </w:pPr>
            <w:r>
              <w:rPr>
                <w:rFonts w:hint="eastAsia" w:ascii="仿宋" w:hAnsi="仿宋" w:cs="宋体"/>
                <w:color w:val="000000"/>
                <w:kern w:val="0"/>
                <w:sz w:val="20"/>
                <w:szCs w:val="20"/>
              </w:rPr>
              <w:t>福州地铁</w:t>
            </w:r>
          </w:p>
        </w:tc>
        <w:tc>
          <w:tcPr>
            <w:tcW w:w="561" w:type="pct"/>
            <w:noWrap/>
          </w:tcPr>
          <w:p w14:paraId="5663876E">
            <w:pPr>
              <w:widowControl/>
              <w:spacing w:line="240" w:lineRule="auto"/>
              <w:ind w:firstLine="0" w:firstLineChars="0"/>
              <w:jc w:val="left"/>
              <w:rPr>
                <w:rFonts w:hint="eastAsia" w:ascii="仿宋" w:hAnsi="仿宋" w:cs="宋体"/>
                <w:color w:val="000000"/>
                <w:kern w:val="0"/>
                <w:sz w:val="20"/>
                <w:szCs w:val="20"/>
              </w:rPr>
            </w:pPr>
            <w:r>
              <w:rPr>
                <w:rFonts w:hint="eastAsia" w:ascii="仿宋" w:hAnsi="仿宋" w:cs="宋体"/>
                <w:color w:val="000000"/>
                <w:kern w:val="0"/>
                <w:sz w:val="20"/>
                <w:szCs w:val="20"/>
              </w:rPr>
              <w:t>11-22</w:t>
            </w:r>
          </w:p>
        </w:tc>
      </w:tr>
      <w:tr w14:paraId="3DBBD773">
        <w:tblPrEx>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CellMar>
            <w:top w:w="0" w:type="dxa"/>
            <w:left w:w="108" w:type="dxa"/>
            <w:bottom w:w="0" w:type="dxa"/>
            <w:right w:w="108" w:type="dxa"/>
          </w:tblCellMar>
        </w:tblPrEx>
        <w:trPr>
          <w:trHeight w:val="280" w:hRule="atLeast"/>
        </w:trPr>
        <w:tc>
          <w:tcPr>
            <w:tcW w:w="426" w:type="pct"/>
            <w:noWrap/>
          </w:tcPr>
          <w:p w14:paraId="5CC25F8E">
            <w:pPr>
              <w:widowControl/>
              <w:spacing w:line="240" w:lineRule="auto"/>
              <w:ind w:firstLine="0" w:firstLineChars="0"/>
              <w:jc w:val="left"/>
              <w:rPr>
                <w:rFonts w:hint="eastAsia" w:ascii="仿宋" w:hAnsi="仿宋" w:cs="宋体"/>
                <w:b/>
                <w:bCs/>
                <w:kern w:val="0"/>
                <w:sz w:val="20"/>
                <w:szCs w:val="20"/>
              </w:rPr>
            </w:pPr>
            <w:r>
              <w:rPr>
                <w:rFonts w:hint="eastAsia" w:ascii="仿宋" w:hAnsi="仿宋" w:cs="宋体"/>
                <w:b/>
                <w:bCs/>
                <w:kern w:val="0"/>
                <w:sz w:val="20"/>
                <w:szCs w:val="20"/>
              </w:rPr>
              <w:t>合计</w:t>
            </w:r>
          </w:p>
        </w:tc>
        <w:tc>
          <w:tcPr>
            <w:tcW w:w="771" w:type="pct"/>
          </w:tcPr>
          <w:p w14:paraId="27D8A4F4">
            <w:pPr>
              <w:widowControl/>
              <w:spacing w:line="240" w:lineRule="auto"/>
              <w:ind w:firstLine="0" w:firstLineChars="0"/>
              <w:jc w:val="left"/>
              <w:rPr>
                <w:rFonts w:hint="eastAsia" w:ascii="仿宋" w:hAnsi="仿宋" w:cs="宋体"/>
                <w:kern w:val="0"/>
                <w:sz w:val="20"/>
                <w:szCs w:val="20"/>
              </w:rPr>
            </w:pPr>
          </w:p>
        </w:tc>
        <w:tc>
          <w:tcPr>
            <w:tcW w:w="595" w:type="pct"/>
            <w:noWrap/>
          </w:tcPr>
          <w:p w14:paraId="3D3CDA5D">
            <w:pPr>
              <w:widowControl/>
              <w:spacing w:line="240" w:lineRule="auto"/>
              <w:ind w:firstLine="0" w:firstLineChars="0"/>
              <w:jc w:val="left"/>
              <w:rPr>
                <w:rFonts w:hint="eastAsia" w:ascii="仿宋" w:hAnsi="仿宋" w:cs="Times New Roman"/>
                <w:kern w:val="0"/>
                <w:sz w:val="20"/>
                <w:szCs w:val="20"/>
              </w:rPr>
            </w:pPr>
          </w:p>
        </w:tc>
        <w:tc>
          <w:tcPr>
            <w:tcW w:w="619" w:type="pct"/>
            <w:noWrap/>
          </w:tcPr>
          <w:p w14:paraId="629204B0">
            <w:pPr>
              <w:widowControl/>
              <w:spacing w:line="240" w:lineRule="auto"/>
              <w:ind w:firstLine="0" w:firstLineChars="0"/>
              <w:jc w:val="right"/>
              <w:rPr>
                <w:rFonts w:hint="eastAsia" w:ascii="仿宋" w:hAnsi="仿宋" w:cs="宋体"/>
                <w:color w:val="000000"/>
                <w:kern w:val="0"/>
                <w:sz w:val="20"/>
                <w:szCs w:val="20"/>
              </w:rPr>
            </w:pPr>
            <w:r>
              <w:rPr>
                <w:rFonts w:hint="eastAsia" w:ascii="仿宋" w:hAnsi="仿宋" w:cs="宋体"/>
                <w:color w:val="000000"/>
                <w:kern w:val="0"/>
                <w:sz w:val="20"/>
                <w:szCs w:val="20"/>
              </w:rPr>
              <w:t>61,196</w:t>
            </w:r>
          </w:p>
        </w:tc>
        <w:tc>
          <w:tcPr>
            <w:tcW w:w="559" w:type="pct"/>
            <w:noWrap/>
          </w:tcPr>
          <w:p w14:paraId="16CACB27">
            <w:pPr>
              <w:widowControl/>
              <w:spacing w:line="240" w:lineRule="auto"/>
              <w:ind w:firstLine="0" w:firstLineChars="0"/>
              <w:jc w:val="right"/>
              <w:rPr>
                <w:rFonts w:hint="eastAsia" w:ascii="仿宋" w:hAnsi="仿宋" w:cs="宋体"/>
                <w:color w:val="000000"/>
                <w:kern w:val="0"/>
                <w:sz w:val="20"/>
                <w:szCs w:val="20"/>
              </w:rPr>
            </w:pPr>
            <w:r>
              <w:rPr>
                <w:rFonts w:hint="eastAsia" w:ascii="仿宋" w:hAnsi="仿宋" w:cs="宋体"/>
                <w:color w:val="000000"/>
                <w:kern w:val="0"/>
                <w:sz w:val="20"/>
                <w:szCs w:val="20"/>
              </w:rPr>
              <w:t>131,953</w:t>
            </w:r>
          </w:p>
        </w:tc>
        <w:tc>
          <w:tcPr>
            <w:tcW w:w="631" w:type="pct"/>
            <w:noWrap/>
          </w:tcPr>
          <w:p w14:paraId="7CE04A44">
            <w:pPr>
              <w:widowControl/>
              <w:spacing w:line="240" w:lineRule="auto"/>
              <w:ind w:firstLine="0" w:firstLineChars="0"/>
              <w:jc w:val="right"/>
              <w:rPr>
                <w:rFonts w:hint="eastAsia" w:ascii="仿宋" w:hAnsi="仿宋" w:cs="宋体"/>
                <w:color w:val="000000"/>
                <w:kern w:val="0"/>
                <w:sz w:val="20"/>
                <w:szCs w:val="20"/>
              </w:rPr>
            </w:pPr>
            <w:r>
              <w:rPr>
                <w:rFonts w:hint="eastAsia" w:ascii="仿宋" w:hAnsi="仿宋" w:cs="宋体"/>
                <w:color w:val="000000"/>
                <w:kern w:val="0"/>
                <w:sz w:val="20"/>
                <w:szCs w:val="20"/>
              </w:rPr>
              <w:t>249,400</w:t>
            </w:r>
          </w:p>
        </w:tc>
        <w:tc>
          <w:tcPr>
            <w:tcW w:w="840" w:type="pct"/>
          </w:tcPr>
          <w:p w14:paraId="3BC5E80C">
            <w:pPr>
              <w:widowControl/>
              <w:spacing w:line="240" w:lineRule="auto"/>
              <w:ind w:firstLine="0" w:firstLineChars="0"/>
              <w:jc w:val="left"/>
              <w:rPr>
                <w:rFonts w:hint="eastAsia" w:ascii="仿宋" w:hAnsi="仿宋" w:cs="Times New Roman"/>
                <w:kern w:val="0"/>
                <w:sz w:val="20"/>
                <w:szCs w:val="20"/>
              </w:rPr>
            </w:pPr>
          </w:p>
        </w:tc>
        <w:tc>
          <w:tcPr>
            <w:tcW w:w="561" w:type="pct"/>
            <w:noWrap/>
          </w:tcPr>
          <w:p w14:paraId="3263E7AE">
            <w:pPr>
              <w:widowControl/>
              <w:spacing w:line="240" w:lineRule="auto"/>
              <w:ind w:firstLine="0" w:firstLineChars="0"/>
              <w:jc w:val="left"/>
              <w:rPr>
                <w:rFonts w:hint="eastAsia" w:ascii="仿宋" w:hAnsi="仿宋" w:cs="Times New Roman"/>
                <w:kern w:val="0"/>
                <w:sz w:val="20"/>
                <w:szCs w:val="20"/>
              </w:rPr>
            </w:pPr>
          </w:p>
        </w:tc>
      </w:tr>
    </w:tbl>
    <w:p w14:paraId="2E61C8D2">
      <w:pPr>
        <w:pStyle w:val="48"/>
        <w:ind w:firstLine="420"/>
        <w:rPr>
          <w:rFonts w:hint="eastAsia" w:ascii="仿宋" w:hAnsi="仿宋" w:cs="Arial"/>
          <w:color w:val="222222"/>
          <w:sz w:val="21"/>
          <w:szCs w:val="20"/>
          <w:shd w:val="clear" w:color="auto" w:fill="FFFFFF"/>
          <w:lang w:bidi="ar"/>
        </w:rPr>
      </w:pPr>
      <w:r>
        <w:rPr>
          <w:rFonts w:hint="eastAsia" w:ascii="仿宋" w:hAnsi="仿宋" w:cs="Arial"/>
          <w:color w:val="222222"/>
          <w:sz w:val="21"/>
          <w:szCs w:val="20"/>
          <w:shd w:val="clear" w:color="auto" w:fill="FFFFFF"/>
          <w:lang w:bidi="ar"/>
        </w:rPr>
        <w:t>数据来源：C</w:t>
      </w:r>
      <w:r>
        <w:rPr>
          <w:rFonts w:ascii="仿宋" w:hAnsi="仿宋" w:cs="Arial"/>
          <w:color w:val="222222"/>
          <w:sz w:val="21"/>
          <w:szCs w:val="20"/>
          <w:shd w:val="clear" w:color="auto" w:fill="FFFFFF"/>
          <w:lang w:bidi="ar"/>
        </w:rPr>
        <w:t>RIC</w:t>
      </w:r>
      <w:r>
        <w:rPr>
          <w:rFonts w:hint="eastAsia" w:ascii="仿宋" w:hAnsi="仿宋" w:cs="Arial"/>
          <w:color w:val="222222"/>
          <w:sz w:val="21"/>
          <w:szCs w:val="20"/>
          <w:shd w:val="clear" w:color="auto" w:fill="FFFFFF"/>
          <w:lang w:bidi="ar"/>
        </w:rPr>
        <w:t>、易居研究院</w:t>
      </w:r>
    </w:p>
    <w:p w14:paraId="16A60F60">
      <w:pPr>
        <w:pStyle w:val="2"/>
        <w:numPr>
          <w:ilvl w:val="0"/>
          <w:numId w:val="4"/>
        </w:numPr>
        <w:rPr>
          <w:rFonts w:hint="eastAsia" w:ascii="仿宋" w:hAnsi="仿宋" w:cs="Arial"/>
          <w:color w:val="222222"/>
          <w:kern w:val="0"/>
          <w:szCs w:val="24"/>
          <w:shd w:val="clear" w:color="auto" w:fill="FFFFFF"/>
          <w:lang w:bidi="ar"/>
        </w:rPr>
      </w:pPr>
      <w:bookmarkStart w:id="30" w:name="_Toc184843557"/>
      <w:r>
        <w:rPr>
          <w:rFonts w:ascii="仿宋" w:hAnsi="仿宋" w:cs="Arial"/>
          <w:color w:val="222222"/>
          <w:kern w:val="0"/>
          <w:szCs w:val="24"/>
          <w:shd w:val="clear" w:color="auto" w:fill="FFFFFF"/>
          <w:lang w:bidi="ar"/>
        </w:rPr>
        <w:t>王府井集团首次落子浙江——绍兴柯桥TOD项目签约</w:t>
      </w:r>
      <w:bookmarkEnd w:id="30"/>
    </w:p>
    <w:p w14:paraId="7BA89CD4">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ascii="仿宋" w:hAnsi="仿宋" w:eastAsia="仿宋" w:cs="Arial"/>
          <w:color w:val="222222"/>
          <w:shd w:val="clear" w:color="auto" w:fill="FFFFFF"/>
          <w:lang w:bidi="ar"/>
        </w:rPr>
        <w:t>11月1日，绍兴柯桥“鉴水路TOD项目城市价值峰会暨王府井&amp;雅高品牌签约发布会”启幕。王府井集团与柯桥建设集团、中交城市投资控股有限公司柯桥项目公司正式签订战略合作协议。绍兴柯桥王府井TOD购物中心是王府井集团进驻浙江的首个商业项目</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规模达11万方</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将以独特的“街区+MALL”组合形式呈现</w:t>
      </w:r>
      <w:r>
        <w:rPr>
          <w:rFonts w:hint="eastAsia" w:ascii="仿宋" w:hAnsi="仿宋" w:eastAsia="仿宋" w:cs="Arial"/>
          <w:color w:val="222222"/>
          <w:shd w:val="clear" w:color="auto" w:fill="FFFFFF"/>
          <w:lang w:bidi="ar"/>
        </w:rPr>
        <w:t>，</w:t>
      </w:r>
      <w:r>
        <w:rPr>
          <w:rFonts w:ascii="仿宋" w:hAnsi="仿宋" w:eastAsia="仿宋" w:cs="Arial"/>
          <w:color w:val="222222"/>
          <w:shd w:val="clear" w:color="auto" w:fill="FFFFFF"/>
          <w:lang w:bidi="ar"/>
        </w:rPr>
        <w:t>定位为“潮奢理想时尚中心、家庭娱乐体验中心、年轻磁场社交中心”。它将突破区域传统商业概念，以多元文化融合和轻松生活方式为运营核心，致力于填补柯桥大型年轻潮流商业的空白。</w:t>
      </w:r>
    </w:p>
    <w:p w14:paraId="24AC046D">
      <w:pPr>
        <w:pStyle w:val="2"/>
        <w:numPr>
          <w:ilvl w:val="0"/>
          <w:numId w:val="4"/>
        </w:numPr>
        <w:rPr>
          <w:rFonts w:hint="eastAsia" w:ascii="仿宋" w:hAnsi="仿宋" w:cs="Arial"/>
          <w:color w:val="222222"/>
          <w:kern w:val="0"/>
          <w:szCs w:val="24"/>
          <w:shd w:val="clear" w:color="auto" w:fill="FFFFFF"/>
          <w:lang w:bidi="ar"/>
        </w:rPr>
      </w:pPr>
      <w:bookmarkStart w:id="31" w:name="_Toc184843558"/>
      <w:r>
        <w:rPr>
          <w:rFonts w:hint="eastAsia" w:ascii="仿宋" w:hAnsi="仿宋" w:cs="Arial"/>
          <w:color w:val="222222"/>
          <w:kern w:val="0"/>
          <w:szCs w:val="24"/>
          <w:shd w:val="clear" w:color="auto" w:fill="FFFFFF"/>
          <w:lang w:bidi="ar"/>
        </w:rPr>
        <w:t>河南铁建投综合开发集团与洲际酒店集团举行合作签约仪式</w:t>
      </w:r>
      <w:bookmarkEnd w:id="31"/>
    </w:p>
    <w:p w14:paraId="0D6D4B9E">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11月8日，河南铁建投综合开发集团与洲际酒店集团举行签约仪式，标志着河南首个华邑酒店品牌——郑州华邑酒店正式落地。郑州华邑酒店将落位综开集团科技园项目，项目位于中原科技城核心板块，占地约57亩，总建筑面积约10万㎡，项目包含商业、酒店、办公、演艺等业态，打造复合型产业综合体。</w:t>
      </w:r>
    </w:p>
    <w:p w14:paraId="71EC7632">
      <w:pPr>
        <w:pStyle w:val="2"/>
        <w:numPr>
          <w:ilvl w:val="0"/>
          <w:numId w:val="4"/>
        </w:numPr>
        <w:rPr>
          <w:rFonts w:hint="eastAsia" w:ascii="仿宋" w:hAnsi="仿宋" w:cs="Arial"/>
          <w:color w:val="222222"/>
          <w:kern w:val="0"/>
          <w:szCs w:val="24"/>
          <w:shd w:val="clear" w:color="auto" w:fill="FFFFFF"/>
          <w:lang w:bidi="ar"/>
        </w:rPr>
      </w:pPr>
      <w:bookmarkStart w:id="32" w:name="_Toc184843559"/>
      <w:r>
        <w:rPr>
          <w:rFonts w:hint="eastAsia" w:ascii="仿宋" w:hAnsi="仿宋" w:cs="Arial"/>
          <w:color w:val="222222"/>
          <w:kern w:val="0"/>
          <w:szCs w:val="24"/>
          <w:shd w:val="clear" w:color="auto" w:fill="FFFFFF"/>
          <w:lang w:bidi="ar"/>
        </w:rPr>
        <w:t>深铁优质商业联席推介会召开，现场签约超6亿元</w:t>
      </w:r>
      <w:bookmarkEnd w:id="32"/>
    </w:p>
    <w:p w14:paraId="5B7CEA85">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11月11日，深铁置业与深铁商业联袂举办优质商业联席推介会，成功吸引多家机构签约，达成意向交易金额超6亿元。深铁置业和深铁商业分别是深铁集团旗下专职“站城开发”与“资源经营”业务的主力，始终秉承“经营地铁、服务城市”的企业使命，不断激发城市经济活力。深铁置业携手深铁商业按照“一盘棋”布局，整合地上地下分散的商业和空间资源，形成统一策划、统一管理、统一经营的资产运营大格局，努力打造具有竞争力的商业项目，以满足市场需求、提升城市品质，促进“轨道+物业”模式的可持续发展，同时助力品牌商家把握地铁商业机遇，享受轨道交通发展红利。</w:t>
      </w:r>
    </w:p>
    <w:p w14:paraId="64E7E8F6">
      <w:pPr>
        <w:pStyle w:val="2"/>
        <w:numPr>
          <w:ilvl w:val="0"/>
          <w:numId w:val="4"/>
        </w:numPr>
        <w:rPr>
          <w:rFonts w:hint="eastAsia" w:ascii="仿宋" w:hAnsi="仿宋" w:cs="Arial"/>
          <w:color w:val="222222"/>
          <w:kern w:val="0"/>
          <w:szCs w:val="24"/>
          <w:shd w:val="clear" w:color="auto" w:fill="FFFFFF"/>
          <w:lang w:bidi="ar"/>
        </w:rPr>
      </w:pPr>
      <w:bookmarkStart w:id="33" w:name="_Toc184843560"/>
      <w:r>
        <w:rPr>
          <w:rFonts w:hint="eastAsia" w:ascii="仿宋" w:hAnsi="仿宋" w:cs="Arial"/>
          <w:color w:val="222222"/>
          <w:kern w:val="0"/>
          <w:szCs w:val="24"/>
          <w:shd w:val="clear" w:color="auto" w:fill="FFFFFF"/>
          <w:lang w:bidi="ar"/>
        </w:rPr>
        <w:t>华侨城盘活武汉TOD项目地块</w:t>
      </w:r>
      <w:bookmarkEnd w:id="33"/>
    </w:p>
    <w:p w14:paraId="2FE11A7B">
      <w:pPr>
        <w:pStyle w:val="21"/>
        <w:spacing w:before="0" w:beforeAutospacing="0" w:after="0" w:afterAutospacing="0" w:line="360" w:lineRule="auto"/>
        <w:ind w:firstLine="480"/>
        <w:jc w:val="both"/>
        <w:rPr>
          <w:rFonts w:ascii="仿宋" w:hAnsi="仿宋" w:eastAsia="仿宋" w:cs="Arial"/>
          <w:color w:val="222222"/>
          <w:shd w:val="clear" w:color="auto" w:fill="FFFFFF"/>
          <w:lang w:bidi="ar"/>
        </w:rPr>
      </w:pPr>
      <w:r>
        <w:rPr>
          <w:rFonts w:ascii="仿宋" w:hAnsi="仿宋" w:eastAsia="仿宋" w:cs="Arial"/>
          <w:color w:val="222222"/>
          <w:shd w:val="clear" w:color="auto" w:fill="FFFFFF"/>
          <w:lang w:bidi="ar"/>
        </w:rPr>
        <w:t>华侨城A(000069)11月21日晚间公告，公司全资子公司武汉天创置业有限公司（以下简称“天创公司”）位于武汉市洪山区杨春湖高铁商务区一宗土地约105.32亩，原计划建设成为集高端产业聚集的地铁上盖TOD项目</w:t>
      </w:r>
      <w:r>
        <w:rPr>
          <w:rFonts w:hint="eastAsia" w:ascii="仿宋" w:hAnsi="仿宋" w:eastAsia="仿宋" w:cs="Arial"/>
          <w:color w:val="222222"/>
          <w:shd w:val="clear" w:color="auto" w:fill="FFFFFF"/>
          <w:lang w:bidi="ar"/>
        </w:rPr>
        <w:t>，即华侨城·欢乐天际中央区TOD商服组团，但截至目前尚未兑现</w:t>
      </w:r>
      <w:r>
        <w:rPr>
          <w:rFonts w:ascii="仿宋" w:hAnsi="仿宋" w:eastAsia="仿宋" w:cs="Arial"/>
          <w:color w:val="222222"/>
          <w:shd w:val="clear" w:color="auto" w:fill="FFFFFF"/>
          <w:lang w:bidi="ar"/>
        </w:rPr>
        <w:t>。综合考量产业招商及房地产市场情况，政府部门拟通过“收、调、供”联动方式，对TOD项目土地进行收储，将原商办为主、住宅为辅的建设指标调整为住宅为主、商办为辅，调规后的土地进行公开市场招拍挂。土地收储并调整规划后，启动土地供应程序，重新供地面积即收储土地面积，土地出让价格根据调规后指标重新评估。后续，天创公司计划通过招拍挂方式参与调规后的土地竞买。</w:t>
      </w:r>
    </w:p>
    <w:p w14:paraId="7994195E">
      <w:pPr>
        <w:pStyle w:val="21"/>
        <w:spacing w:before="0" w:beforeAutospacing="0" w:after="0" w:afterAutospacing="0" w:line="360" w:lineRule="auto"/>
        <w:ind w:firstLine="482"/>
        <w:jc w:val="both"/>
        <w:rPr>
          <w:rFonts w:ascii="仿宋" w:hAnsi="仿宋" w:eastAsia="仿宋" w:cs="Arial"/>
          <w:b/>
          <w:bCs/>
          <w:color w:val="4472C4" w:themeColor="accent1"/>
          <w:shd w:val="clear" w:color="auto" w:fill="FFFFFF"/>
          <w:lang w:bidi="ar"/>
          <w14:textFill>
            <w14:solidFill>
              <w14:schemeClr w14:val="accent1"/>
            </w14:solidFill>
          </w14:textFill>
        </w:rPr>
      </w:pPr>
      <w:r>
        <w:rPr>
          <w:rFonts w:hint="eastAsia" w:ascii="仿宋" w:hAnsi="仿宋" w:eastAsia="仿宋" w:cs="Arial"/>
          <w:b/>
          <w:bCs/>
          <w:color w:val="4472C4" w:themeColor="accent1"/>
          <w:shd w:val="clear" w:color="auto" w:fill="FFFFFF"/>
          <w:lang w:bidi="ar"/>
          <w14:textFill>
            <w14:solidFill>
              <w14:schemeClr w14:val="accent1"/>
            </w14:solidFill>
          </w14:textFill>
        </w:rPr>
        <w:t>点评：盘活存量闲置用地是减少市场存量土地规模、改善土地供求关系、增强地方政府和企业资金流动性、促进房地产市场止跌回稳的关键举措。华侨城通过出售闲置TOD项目土地给政府，同时购买规划调整后的土地，有助于缓解资金压力，实现土地“置换”，优化资产结构。预计未来更多的城市和企业将加快推动存量土地盘活。</w:t>
      </w:r>
    </w:p>
    <w:p w14:paraId="4179A5A1">
      <w:pPr>
        <w:pStyle w:val="2"/>
        <w:numPr>
          <w:ilvl w:val="0"/>
          <w:numId w:val="4"/>
        </w:numPr>
        <w:rPr>
          <w:rFonts w:hint="eastAsia" w:ascii="仿宋" w:hAnsi="仿宋" w:cs="Arial"/>
          <w:color w:val="222222"/>
          <w:kern w:val="0"/>
          <w:szCs w:val="24"/>
          <w:shd w:val="clear" w:color="auto" w:fill="FFFFFF"/>
          <w:lang w:bidi="ar"/>
        </w:rPr>
      </w:pPr>
      <w:bookmarkStart w:id="34" w:name="_Toc184843561"/>
      <w:r>
        <w:rPr>
          <w:rFonts w:hint="eastAsia" w:ascii="仿宋" w:hAnsi="仿宋" w:cs="Arial"/>
          <w:color w:val="222222"/>
          <w:kern w:val="0"/>
          <w:szCs w:val="24"/>
          <w:shd w:val="clear" w:color="auto" w:fill="FFFFFF"/>
          <w:lang w:bidi="ar"/>
        </w:rPr>
        <w:t>华润置地发布上海中环沿线新布局</w:t>
      </w:r>
      <w:bookmarkEnd w:id="34"/>
    </w:p>
    <w:p w14:paraId="796C0E9D">
      <w:pPr>
        <w:pStyle w:val="48"/>
        <w:ind w:firstLine="480"/>
        <w:rPr>
          <w:rFonts w:hint="eastAsia" w:ascii="仿宋" w:hAnsi="仿宋" w:cs="Arial"/>
          <w:color w:val="222222"/>
          <w:shd w:val="clear" w:color="auto" w:fill="FFFFFF"/>
          <w:lang w:bidi="ar"/>
        </w:rPr>
      </w:pPr>
      <w:r>
        <w:rPr>
          <w:rFonts w:hint="eastAsia" w:ascii="仿宋" w:hAnsi="仿宋" w:cs="Arial"/>
          <w:color w:val="222222"/>
          <w:shd w:val="clear" w:color="auto" w:fill="FFFFFF"/>
          <w:lang w:bidi="ar"/>
        </w:rPr>
        <w:t>11月15日，华润置地在苏河湾中心举办“2024中環置地中心万象之夜”，讲述其与城市共进的履迹，对中環置地中心在南大更新的整盘布局、TOD营造、产品迭代等问题进行完整解读。同时，中環置地中心2024年重磅住宅作品——中環置地中心·望雲也在活动现场发布。中環置地中心联动一二期地块打造百万方TOD超级复合生活场，依托城市综合体和城市更新为核心的片区统筹模式，深度参与城市建设，重塑版块想象，打造北上海重量级旗舰商圈，引领城市更新。华润置地承袭数年发展造城经验，携全新TOD开发理念，邀请5+design、GP、IFG等国际大师团队担纲设计，聚焦这片土地的开发。发布会当晚，中环商业案名——中環置地中心万象汇发布。</w:t>
      </w:r>
    </w:p>
    <w:p w14:paraId="184F97CE">
      <w:pPr>
        <w:pStyle w:val="2"/>
        <w:numPr>
          <w:ilvl w:val="0"/>
          <w:numId w:val="4"/>
        </w:numPr>
        <w:rPr>
          <w:rFonts w:hint="eastAsia" w:ascii="仿宋" w:hAnsi="仿宋" w:cs="Arial"/>
          <w:color w:val="222222"/>
          <w:kern w:val="0"/>
          <w:szCs w:val="24"/>
          <w:shd w:val="clear" w:color="auto" w:fill="FFFFFF"/>
          <w:lang w:bidi="ar"/>
        </w:rPr>
      </w:pPr>
      <w:bookmarkStart w:id="35" w:name="_Toc184843562"/>
      <w:r>
        <w:rPr>
          <w:rFonts w:hint="eastAsia" w:ascii="仿宋" w:hAnsi="仿宋" w:cs="Arial"/>
          <w:color w:val="222222"/>
          <w:kern w:val="0"/>
          <w:szCs w:val="24"/>
          <w:shd w:val="clear" w:color="auto" w:fill="FFFFFF"/>
          <w:lang w:bidi="ar"/>
        </w:rPr>
        <w:t>绿城管理与港珠澳未来城合作签约仪式举行</w:t>
      </w:r>
      <w:bookmarkEnd w:id="35"/>
    </w:p>
    <w:p w14:paraId="407F74BB">
      <w:pPr>
        <w:pStyle w:val="21"/>
        <w:spacing w:before="0" w:beforeAutospacing="0" w:after="0" w:afterAutospacing="0" w:line="360" w:lineRule="auto"/>
        <w:ind w:firstLine="480"/>
        <w:jc w:val="both"/>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近日，绿城管理与港珠澳未来城合作签约仪式，在广东省珠海市港珠澳未来城项目现场举行。港珠澳未来城位于港珠澳大桥西侧，西接澳门，东望香港、深圳。该项目规划总建筑面积约120万平方米，总投资规模逾百亿元，是集企业总部办公、酒店式办公、商业文娱观光、国际酒店集群、国际会展中心、TOD综合交通枢纽等于一体的旗舰式项目。绿城管理方面表示，此次合作正式落地，是大湾区合作共建的新标杆。港珠澳未来城将整合并引入优质资源，助力构建大湾区“一小时生活圈”。</w:t>
      </w:r>
    </w:p>
    <w:p w14:paraId="78FE9205">
      <w:pPr>
        <w:pStyle w:val="21"/>
        <w:spacing w:before="0" w:beforeAutospacing="0" w:after="0" w:afterAutospacing="0" w:line="360" w:lineRule="auto"/>
        <w:ind w:firstLine="480"/>
        <w:rPr>
          <w:rFonts w:hint="eastAsia" w:ascii="仿宋" w:hAnsi="仿宋" w:eastAsia="仿宋" w:cs="Arial"/>
          <w:color w:val="222222"/>
          <w:shd w:val="clear" w:color="auto" w:fill="FFFFFF"/>
          <w:lang w:bidi="ar"/>
        </w:rPr>
      </w:pPr>
    </w:p>
    <w:p w14:paraId="0F01C36A">
      <w:pPr>
        <w:pStyle w:val="48"/>
        <w:ind w:firstLine="480"/>
        <w:rPr>
          <w:shd w:val="clear" w:color="auto" w:fill="FFFFFF"/>
          <w:lang w:bidi="ar"/>
        </w:rPr>
      </w:pPr>
    </w:p>
    <w:bookmarkEnd w:id="27"/>
    <w:p w14:paraId="725AFE06">
      <w:pPr>
        <w:ind w:firstLine="480"/>
        <w:rPr>
          <w:rFonts w:hint="eastAsia" w:ascii="仿宋" w:hAnsi="仿宋"/>
        </w:rPr>
        <w:sectPr>
          <w:pgSz w:w="11906" w:h="16838"/>
          <w:pgMar w:top="1440" w:right="1800" w:bottom="1440" w:left="1800" w:header="1474" w:footer="964" w:gutter="0"/>
          <w:cols w:space="425" w:num="1"/>
          <w:docGrid w:type="lines" w:linePitch="326" w:charSpace="0"/>
        </w:sectPr>
      </w:pPr>
    </w:p>
    <w:p w14:paraId="65ECF687">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36" w:name="_Toc184843563"/>
      <w:r>
        <w:rPr>
          <w:rFonts w:hint="eastAsia" w:ascii="黑体" w:hAnsi="黑体" w:eastAsia="黑体" w:cs="Times New Roman"/>
          <w:color w:val="5B9BD5" w:themeColor="accent5"/>
          <w:kern w:val="44"/>
          <w:sz w:val="28"/>
          <w14:textFill>
            <w14:solidFill>
              <w14:schemeClr w14:val="accent5"/>
            </w14:solidFill>
          </w14:textFill>
        </w:rPr>
        <w:t>四</w:t>
      </w:r>
      <w:r>
        <w:rPr>
          <w:rFonts w:ascii="黑体" w:hAnsi="黑体" w:eastAsia="黑体" w:cs="Times New Roman"/>
          <w:color w:val="5B9BD5" w:themeColor="accent5"/>
          <w:kern w:val="44"/>
          <w:sz w:val="28"/>
          <w14:textFill>
            <w14:solidFill>
              <w14:schemeClr w14:val="accent5"/>
            </w14:solidFill>
          </w14:textFill>
        </w:rPr>
        <w:t>、项目动态</w:t>
      </w:r>
      <w:bookmarkEnd w:id="36"/>
    </w:p>
    <w:p w14:paraId="5C707CB1">
      <w:pPr>
        <w:pStyle w:val="2"/>
        <w:numPr>
          <w:ilvl w:val="0"/>
          <w:numId w:val="5"/>
        </w:numPr>
        <w:rPr>
          <w:rFonts w:hint="eastAsia" w:ascii="仿宋" w:hAnsi="仿宋" w:cs="Arial"/>
          <w:color w:val="222222"/>
          <w:kern w:val="0"/>
          <w:szCs w:val="24"/>
          <w:shd w:val="clear" w:color="auto" w:fill="FFFFFF"/>
          <w:lang w:bidi="ar"/>
        </w:rPr>
      </w:pPr>
      <w:bookmarkStart w:id="37" w:name="_Toc184843564"/>
      <w:r>
        <w:rPr>
          <w:rFonts w:ascii="仿宋" w:hAnsi="仿宋" w:cs="Arial"/>
          <w:color w:val="222222"/>
          <w:kern w:val="0"/>
          <w:szCs w:val="24"/>
          <w:shd w:val="clear" w:color="auto" w:fill="FFFFFF"/>
          <w:lang w:bidi="ar"/>
        </w:rPr>
        <w:t>杭州西站枢纽入选“中国式现代化的浙江探索与实践优秀案例”</w:t>
      </w:r>
      <w:bookmarkEnd w:id="37"/>
    </w:p>
    <w:p w14:paraId="727E0181">
      <w:pPr>
        <w:pStyle w:val="48"/>
        <w:ind w:firstLine="480"/>
        <w:rPr>
          <w:rFonts w:hint="eastAsia" w:ascii="仿宋" w:hAnsi="仿宋"/>
        </w:rPr>
      </w:pPr>
      <w:r>
        <w:rPr>
          <w:rFonts w:ascii="仿宋" w:hAnsi="仿宋"/>
          <w:shd w:val="clear" w:color="auto" w:fill="FFFFFF"/>
          <w:lang w:bidi="ar"/>
        </w:rPr>
        <w:t>11月2日</w:t>
      </w:r>
      <w:r>
        <w:rPr>
          <w:rFonts w:hint="eastAsia" w:ascii="仿宋" w:hAnsi="仿宋"/>
          <w:shd w:val="clear" w:color="auto" w:fill="FFFFFF"/>
          <w:lang w:bidi="ar"/>
        </w:rPr>
        <w:t>，</w:t>
      </w:r>
      <w:r>
        <w:rPr>
          <w:rFonts w:ascii="仿宋" w:hAnsi="仿宋"/>
          <w:shd w:val="clear" w:color="auto" w:fill="FFFFFF"/>
          <w:lang w:bidi="ar"/>
        </w:rPr>
        <w:t>2024长三角美好生活季在拱墅区运河体育公园启动</w:t>
      </w:r>
      <w:r>
        <w:rPr>
          <w:rFonts w:hint="eastAsia" w:ascii="仿宋" w:hAnsi="仿宋"/>
          <w:shd w:val="clear" w:color="auto" w:fill="FFFFFF"/>
          <w:lang w:bidi="ar"/>
        </w:rPr>
        <w:t>。</w:t>
      </w:r>
      <w:r>
        <w:rPr>
          <w:rFonts w:ascii="仿宋" w:hAnsi="仿宋"/>
          <w:shd w:val="clear" w:color="auto" w:fill="FFFFFF"/>
          <w:lang w:bidi="ar"/>
        </w:rPr>
        <w:t>杭州西站枢纽“打造新一代高铁枢纽高质量发展标杆作品”入选“中国式现代化的浙江探索与实践优秀案例”</w:t>
      </w:r>
      <w:r>
        <w:rPr>
          <w:rFonts w:hint="eastAsia" w:ascii="仿宋" w:hAnsi="仿宋"/>
          <w:shd w:val="clear" w:color="auto" w:fill="FFFFFF"/>
          <w:lang w:bidi="ar"/>
        </w:rPr>
        <w:t>。杭州西站枢纽是新一轮《杭州铁路枢纽规划》的核心项目，是“轨道上的长三角”重要节点工程、杭州亚运会重大配套设施，更是在新发展理念指导下高质量建设的新一代高铁枢纽标杆性作品。</w:t>
      </w:r>
      <w:r>
        <w:rPr>
          <w:rFonts w:ascii="仿宋" w:hAnsi="仿宋"/>
          <w:shd w:val="clear" w:color="auto" w:fill="FFFFFF"/>
          <w:lang w:bidi="ar"/>
        </w:rPr>
        <w:t>自2022年9月开站至今，杭州西站枢纽铁路总客流突破1700万人次。杭州西站站区实施高强度、高密度站城融合开发，云门展示中心已对外开放，未来还将汇聚商业、办公、会展等多种业态，“一站式”满足商务、旅游、购物、会展等需求。</w:t>
      </w:r>
    </w:p>
    <w:p w14:paraId="670C95F7">
      <w:pPr>
        <w:pStyle w:val="21"/>
        <w:ind w:firstLine="480"/>
        <w:jc w:val="center"/>
        <w:rPr>
          <w:rFonts w:hint="eastAsia" w:ascii="黑体" w:hAnsi="黑体" w:eastAsia="黑体" w:cs="Arial"/>
          <w:color w:val="222222"/>
          <w:shd w:val="clear" w:color="auto" w:fill="FFFFFF"/>
          <w:lang w:bidi="ar"/>
        </w:rPr>
      </w:pPr>
      <w:r>
        <w:rPr>
          <w:rFonts w:ascii="黑体" w:hAnsi="黑体" w:eastAsia="黑体"/>
        </w:rPr>
        <w:fldChar w:fldCharType="begin"/>
      </w:r>
      <w:r>
        <w:rPr>
          <w:rFonts w:ascii="黑体" w:hAnsi="黑体" w:eastAsia="黑体"/>
        </w:rPr>
        <w:instrText xml:space="preserve">INCLUDEPICTURE \d "https://mmbiz.qpic.cn/mmbiz_png/JYB56EiadUlqFWz6Wh4Klia6DE7vtW5OOvhKhP1bplH5kFwAC55x0ltI5e773dTSjVCWibywnUdvlRbNIb2pEuVrg/640?wx_fmt=png&amp;from=appmsg&amp;tp=wxpic&amp;wxfrom=5&amp;wx_lazy=1&amp;wx_co=1" \* MERGEFORMATINET </w:instrText>
      </w:r>
      <w:r>
        <w:rPr>
          <w:rFonts w:ascii="黑体" w:hAnsi="黑体" w:eastAsia="黑体"/>
        </w:rPr>
        <w:fldChar w:fldCharType="separate"/>
      </w:r>
      <w:r>
        <w:rPr>
          <w:rFonts w:hint="eastAsia" w:ascii="黑体" w:hAnsi="黑体" w:eastAsia="黑体"/>
        </w:rPr>
        <w:fldChar w:fldCharType="begin"/>
      </w:r>
      <w:r>
        <w:rPr>
          <w:rFonts w:hint="eastAsia" w:ascii="黑体" w:hAnsi="黑体" w:eastAsia="黑体"/>
        </w:rPr>
        <w:instrText xml:space="preserve"> INCLUDEPICTURE  "https://mmbiz.qpic.cn/mmbiz_png/JYB56EiadUlqFWz6Wh4Klia6DE7vtW5OOvhKhP1bplH5kFwAC55x0ltI5e773dTSjVCWibywnUdvlRbNIb2pEuVrg/640?wx_fmt=png&amp;from=appmsg&amp;tp=wxpic&amp;wxfrom=5&amp;wx_lazy=1&amp;wx_co=1" \* MERGEFORMATINET </w:instrText>
      </w:r>
      <w:r>
        <w:rPr>
          <w:rFonts w:hint="eastAsia" w:ascii="黑体" w:hAnsi="黑体" w:eastAsia="黑体"/>
        </w:rPr>
        <w:fldChar w:fldCharType="separate"/>
      </w:r>
      <w:r>
        <w:rPr>
          <w:rFonts w:hint="eastAsia" w:ascii="黑体" w:hAnsi="黑体" w:eastAsia="黑体"/>
        </w:rPr>
        <w:fldChar w:fldCharType="begin"/>
      </w:r>
      <w:r>
        <w:rPr>
          <w:rFonts w:hint="eastAsia" w:ascii="黑体" w:hAnsi="黑体" w:eastAsia="黑体"/>
        </w:rPr>
        <w:instrText xml:space="preserve"> INCLUDEPICTURE  "https://mmbiz.qpic.cn/mmbiz_png/JYB56EiadUlqFWz6Wh4Klia6DE7vtW5OOvhKhP1bplH5kFwAC55x0ltI5e773dTSjVCWibywnUdvlRbNIb2pEuVrg/640?wx_fmt=png&amp;from=appmsg&amp;tp=wxpic&amp;wxfrom=5&amp;wx_lazy=1&amp;wx_co=1" \* MERGEFORMATINET </w:instrText>
      </w:r>
      <w:r>
        <w:rPr>
          <w:rFonts w:hint="eastAsia" w:ascii="黑体" w:hAnsi="黑体" w:eastAsia="黑体"/>
        </w:rPr>
        <w:fldChar w:fldCharType="separate"/>
      </w:r>
      <w:r>
        <w:rPr>
          <w:rFonts w:hint="eastAsia" w:ascii="黑体" w:hAnsi="黑体" w:eastAsia="黑体"/>
        </w:rPr>
        <w:fldChar w:fldCharType="begin"/>
      </w:r>
      <w:r>
        <w:rPr>
          <w:rFonts w:hint="eastAsia" w:ascii="黑体" w:hAnsi="黑体" w:eastAsia="黑体"/>
        </w:rPr>
        <w:instrText xml:space="preserve"> INCLUDEPICTURE  "https://mmbiz.qpic.cn/mmbiz_png/JYB56EiadUlqFWz6Wh4Klia6DE7vtW5OOvhKhP1bplH5kFwAC55x0ltI5e773dTSjVCWibywnUdvlRbNIb2pEuVrg/640?wx_fmt=png&amp;from=appmsg&amp;tp=wxpic&amp;wxfrom=5&amp;wx_lazy=1&amp;wx_co=1" \* MERGEFORMATINET </w:instrText>
      </w:r>
      <w:r>
        <w:rPr>
          <w:rFonts w:hint="eastAsia" w:ascii="黑体" w:hAnsi="黑体" w:eastAsia="黑体"/>
        </w:rPr>
        <w:fldChar w:fldCharType="separate"/>
      </w:r>
      <w:r>
        <w:rPr>
          <w:rFonts w:ascii="黑体" w:hAnsi="黑体" w:eastAsia="黑体"/>
        </w:rPr>
        <w:pict>
          <v:shape id="_x0000_i1025" o:spt="75" alt="IMG_256" type="#_x0000_t75" style="height:159.35pt;width:283.5pt;" filled="f" o:preferrelative="t" stroked="f" coordsize="21600,21600">
            <v:path/>
            <v:fill on="f" focussize="0,0"/>
            <v:stroke on="f" joinstyle="miter"/>
            <v:imagedata r:id="rId15" r:href="rId16" o:title=""/>
            <o:lock v:ext="edit" aspectratio="t"/>
            <w10:wrap type="none"/>
            <w10:anchorlock/>
          </v:shape>
        </w:pict>
      </w:r>
      <w:r>
        <w:rPr>
          <w:rFonts w:hint="eastAsia" w:ascii="黑体" w:hAnsi="黑体" w:eastAsia="黑体"/>
        </w:rPr>
        <w:fldChar w:fldCharType="end"/>
      </w:r>
      <w:r>
        <w:rPr>
          <w:rFonts w:hint="eastAsia" w:ascii="黑体" w:hAnsi="黑体" w:eastAsia="黑体"/>
        </w:rPr>
        <w:fldChar w:fldCharType="end"/>
      </w:r>
      <w:r>
        <w:rPr>
          <w:rFonts w:hint="eastAsia" w:ascii="黑体" w:hAnsi="黑体" w:eastAsia="黑体"/>
        </w:rPr>
        <w:fldChar w:fldCharType="end"/>
      </w:r>
      <w:r>
        <w:rPr>
          <w:rFonts w:ascii="黑体" w:hAnsi="黑体" w:eastAsia="黑体"/>
        </w:rPr>
        <w:fldChar w:fldCharType="end"/>
      </w:r>
    </w:p>
    <w:p w14:paraId="6250DC91">
      <w:pPr>
        <w:pStyle w:val="2"/>
        <w:numPr>
          <w:ilvl w:val="0"/>
          <w:numId w:val="5"/>
        </w:numPr>
        <w:rPr>
          <w:rFonts w:hint="eastAsia" w:ascii="仿宋" w:hAnsi="仿宋" w:cs="Arial"/>
          <w:color w:val="222222"/>
          <w:kern w:val="0"/>
          <w:szCs w:val="24"/>
          <w:shd w:val="clear" w:color="auto" w:fill="FFFFFF"/>
          <w:lang w:bidi="ar"/>
        </w:rPr>
      </w:pPr>
      <w:bookmarkStart w:id="38" w:name="_Toc184843565"/>
      <w:r>
        <w:rPr>
          <w:rFonts w:hint="eastAsia" w:ascii="仿宋" w:hAnsi="仿宋" w:cs="Arial"/>
          <w:color w:val="222222"/>
          <w:kern w:val="0"/>
          <w:szCs w:val="24"/>
          <w:shd w:val="clear" w:color="auto" w:fill="FFFFFF"/>
          <w:lang w:bidi="ar"/>
        </w:rPr>
        <w:t>上海地铁1和5号线莘庄站将启动功能提升车站改造</w:t>
      </w:r>
      <w:bookmarkEnd w:id="38"/>
    </w:p>
    <w:p w14:paraId="09AC3D1A">
      <w:pPr>
        <w:pStyle w:val="48"/>
        <w:ind w:firstLine="480"/>
      </w:pPr>
      <w:r>
        <w:rPr>
          <w:rFonts w:hint="eastAsia"/>
          <w:shd w:val="clear" w:color="auto" w:fill="FFFFFF"/>
          <w:lang w:bidi="ar"/>
        </w:rPr>
        <w:t>根据《莘庄交通枢纽交通与市政专项规划》和《上海市轨道交通大修更新改造实施计划（2024-2026年）》，1、5号线莘庄站将配合新建莘庄镇222号地块莘庄地铁站上盖综合开发项目，车站将调整原有的建筑布局、空间环境、客流规模、换乘组织、交通衔接关系，将启动车站进行相关的建筑功能布局、土建结构形式、车站设备、机电系统、装修风格的改造，融入适应莘庄综合交通枢纽整体大环境内，发挥轨道交通的核心作用。项目包括地铁付费区内（含站厅、站台楼板）功能提升的土建、机电改造及装修工程、项目建设过程中由于开发项目所引起的既有地铁站房及区间的拆迁、还建所发生的配套工程、施工措施工程、临时过渡工程等。</w:t>
      </w:r>
    </w:p>
    <w:p w14:paraId="5D3209A1">
      <w:pPr>
        <w:pStyle w:val="2"/>
        <w:numPr>
          <w:ilvl w:val="0"/>
          <w:numId w:val="5"/>
        </w:numPr>
        <w:rPr>
          <w:rFonts w:hint="eastAsia" w:ascii="仿宋" w:hAnsi="仿宋" w:cs="Arial"/>
          <w:color w:val="222222"/>
          <w:kern w:val="0"/>
          <w:szCs w:val="24"/>
          <w:shd w:val="clear" w:color="auto" w:fill="FFFFFF"/>
          <w:lang w:bidi="ar"/>
        </w:rPr>
      </w:pPr>
      <w:bookmarkStart w:id="39" w:name="_Toc184843566"/>
      <w:r>
        <w:rPr>
          <w:rFonts w:ascii="仿宋" w:hAnsi="仿宋" w:cs="Arial"/>
          <w:color w:val="222222"/>
          <w:kern w:val="0"/>
          <w:szCs w:val="24"/>
          <w:shd w:val="clear" w:color="auto" w:fill="FFFFFF"/>
          <w:lang w:bidi="ar"/>
        </w:rPr>
        <w:t>重庆</w:t>
      </w:r>
      <w:r>
        <w:rPr>
          <w:rFonts w:hint="eastAsia" w:ascii="仿宋" w:hAnsi="仿宋" w:cs="Arial"/>
          <w:color w:val="222222"/>
          <w:kern w:val="0"/>
          <w:szCs w:val="24"/>
          <w:shd w:val="clear" w:color="auto" w:fill="FFFFFF"/>
          <w:lang w:bidi="ar"/>
        </w:rPr>
        <w:t>交通开投轨道集团</w:t>
      </w:r>
      <w:r>
        <w:rPr>
          <w:rFonts w:ascii="仿宋" w:hAnsi="仿宋" w:cs="Arial"/>
          <w:color w:val="222222"/>
          <w:kern w:val="0"/>
          <w:szCs w:val="24"/>
          <w:shd w:val="clear" w:color="auto" w:fill="FFFFFF"/>
          <w:lang w:bidi="ar"/>
        </w:rPr>
        <w:t>首个TOD保障性租赁住房</w:t>
      </w:r>
      <w:r>
        <w:rPr>
          <w:rFonts w:hint="eastAsia" w:ascii="仿宋" w:hAnsi="仿宋" w:cs="Arial"/>
          <w:color w:val="222222"/>
          <w:kern w:val="0"/>
          <w:szCs w:val="24"/>
          <w:shd w:val="clear" w:color="auto" w:fill="FFFFFF"/>
          <w:lang w:bidi="ar"/>
        </w:rPr>
        <w:t>-海峡路项目</w:t>
      </w:r>
      <w:r>
        <w:rPr>
          <w:rFonts w:ascii="仿宋" w:hAnsi="仿宋" w:cs="Arial"/>
          <w:color w:val="222222"/>
          <w:kern w:val="0"/>
          <w:szCs w:val="24"/>
          <w:shd w:val="clear" w:color="auto" w:fill="FFFFFF"/>
          <w:lang w:bidi="ar"/>
        </w:rPr>
        <w:t>获批</w:t>
      </w:r>
      <w:bookmarkEnd w:id="39"/>
    </w:p>
    <w:p w14:paraId="63A83A9B">
      <w:pPr>
        <w:pStyle w:val="48"/>
        <w:ind w:firstLine="480"/>
        <w:rPr>
          <w:rFonts w:ascii="仿宋" w:hAnsi="仿宋"/>
          <w:shd w:val="clear" w:color="auto" w:fill="FFFFFF"/>
          <w:lang w:bidi="ar"/>
        </w:rPr>
      </w:pPr>
      <w:r>
        <w:rPr>
          <w:rFonts w:ascii="仿宋" w:hAnsi="仿宋"/>
          <w:shd w:val="clear" w:color="auto" w:fill="FFFFFF"/>
          <w:lang w:bidi="ar"/>
        </w:rPr>
        <w:t>11月3日，重庆交通开投轨道集团海峡路项目于近日顺利获批，成为重庆市保障性租赁住房项目，这也是重庆市首个TOD（公共交通导向型开发）保障性租赁住房项目。本次获批的海峡路项目规划1000余户，推出六种不同户型，可以多层次满足“新市民+青年人”住户的租住需求。该项目距四公里站150米左右，规划了立体通道与车站相连，租户可从“家里”直达车站，充分体现了轨道交通TOD项目的便捷优势。</w:t>
      </w:r>
    </w:p>
    <w:p w14:paraId="049005F2">
      <w:pPr>
        <w:pStyle w:val="2"/>
        <w:numPr>
          <w:ilvl w:val="0"/>
          <w:numId w:val="5"/>
        </w:numPr>
        <w:rPr>
          <w:rFonts w:hint="eastAsia" w:ascii="仿宋" w:hAnsi="仿宋" w:cs="Arial"/>
          <w:color w:val="222222"/>
          <w:kern w:val="0"/>
          <w:szCs w:val="24"/>
          <w:shd w:val="clear" w:color="auto" w:fill="FFFFFF"/>
          <w:lang w:bidi="ar"/>
        </w:rPr>
      </w:pPr>
      <w:bookmarkStart w:id="40" w:name="_Toc184843567"/>
      <w:r>
        <w:rPr>
          <w:rFonts w:ascii="仿宋" w:hAnsi="仿宋" w:cs="Arial"/>
          <w:color w:val="222222"/>
          <w:kern w:val="0"/>
          <w:szCs w:val="24"/>
          <w:shd w:val="clear" w:color="auto" w:fill="FFFFFF"/>
          <w:lang w:bidi="ar"/>
        </w:rPr>
        <w:t>宁波</w:t>
      </w:r>
      <w:r>
        <w:rPr>
          <w:rFonts w:hint="eastAsia" w:ascii="仿宋" w:hAnsi="仿宋" w:cs="Arial"/>
          <w:color w:val="222222"/>
          <w:kern w:val="0"/>
          <w:szCs w:val="24"/>
          <w:shd w:val="clear" w:color="auto" w:fill="FFFFFF"/>
          <w:lang w:bidi="ar"/>
        </w:rPr>
        <w:t>轨道交通</w:t>
      </w:r>
      <w:r>
        <w:rPr>
          <w:rFonts w:ascii="仿宋" w:hAnsi="仿宋" w:cs="Arial"/>
          <w:color w:val="222222"/>
          <w:kern w:val="0"/>
          <w:szCs w:val="24"/>
          <w:shd w:val="clear" w:color="auto" w:fill="FFFFFF"/>
          <w:lang w:bidi="ar"/>
        </w:rPr>
        <w:t>推出首个基于TOD理念的保障性租赁住房项目</w:t>
      </w:r>
      <w:bookmarkEnd w:id="40"/>
    </w:p>
    <w:p w14:paraId="64A4F260">
      <w:pPr>
        <w:pStyle w:val="48"/>
        <w:ind w:firstLine="480"/>
        <w:rPr>
          <w:rFonts w:hint="eastAsia" w:ascii="仿宋" w:hAnsi="仿宋"/>
          <w:shd w:val="clear" w:color="auto" w:fill="FFFFFF"/>
          <w:lang w:bidi="ar"/>
        </w:rPr>
      </w:pPr>
      <w:r>
        <w:rPr>
          <w:rFonts w:hint="eastAsia" w:ascii="仿宋" w:hAnsi="仿宋"/>
          <w:shd w:val="clear" w:color="auto" w:fill="FFFFFF"/>
          <w:lang w:bidi="ar"/>
        </w:rPr>
        <w:t>11月20日，由宁波轨道交通打造的</w:t>
      </w:r>
      <w:r>
        <w:rPr>
          <w:rFonts w:ascii="仿宋" w:hAnsi="仿宋"/>
          <w:shd w:val="clear" w:color="auto" w:fill="FFFFFF"/>
          <w:lang w:bidi="ar"/>
        </w:rPr>
        <w:t>宁波市首个基于TOD理念的美保寓姜山保障性租赁住房项目正式推出。项目位于交通便捷的姜山镇，紧靠地铁3号线姜山站，地理位置得天独厚，周边教育、医疗、商业设施齐全，吸引了不少追求高品质生活的居民。该项目总建筑面积达到3.18万平方米，可提供548套住房，以满足不同需求的租户。宁波市轨道交通集团积极响应政策号召，通过实际行动支持城市发展和民生改善。除姜山保租房项目外，集团还在推进其他四个地块的建设工作，总建筑面积13.2万平方米，计划提供2000套住房。</w:t>
      </w:r>
    </w:p>
    <w:p w14:paraId="7A6A2405">
      <w:pPr>
        <w:pStyle w:val="2"/>
        <w:numPr>
          <w:ilvl w:val="0"/>
          <w:numId w:val="5"/>
        </w:numPr>
        <w:rPr>
          <w:rFonts w:hint="eastAsia" w:ascii="仿宋" w:hAnsi="仿宋" w:cs="Arial"/>
          <w:color w:val="222222"/>
          <w:kern w:val="0"/>
          <w:szCs w:val="24"/>
          <w:shd w:val="clear" w:color="auto" w:fill="FFFFFF"/>
          <w:lang w:bidi="ar"/>
        </w:rPr>
      </w:pPr>
      <w:bookmarkStart w:id="41" w:name="_Toc184843568"/>
      <w:r>
        <w:rPr>
          <w:rFonts w:hint="eastAsia" w:ascii="仿宋" w:hAnsi="仿宋" w:cs="Arial"/>
          <w:color w:val="222222"/>
          <w:kern w:val="0"/>
          <w:szCs w:val="24"/>
          <w:shd w:val="clear" w:color="auto" w:fill="FFFFFF"/>
          <w:lang w:bidi="ar"/>
        </w:rPr>
        <w:t>南宁市轨道3号线未来方舟项目打造成省首个地铁车辆段上盖超大型TOD</w:t>
      </w:r>
      <w:bookmarkEnd w:id="41"/>
    </w:p>
    <w:p w14:paraId="64956AAF">
      <w:pPr>
        <w:pStyle w:val="48"/>
        <w:ind w:firstLine="480"/>
        <w:rPr>
          <w:shd w:val="clear" w:color="auto" w:fill="FFFFFF"/>
          <w:lang w:bidi="ar"/>
        </w:rPr>
      </w:pPr>
      <w:r>
        <w:rPr>
          <w:shd w:val="clear" w:color="auto" w:fill="FFFFFF"/>
          <w:lang w:bidi="ar"/>
        </w:rPr>
        <w:t>11月21日</w:t>
      </w:r>
      <w:r>
        <w:rPr>
          <w:rFonts w:hint="eastAsia"/>
          <w:shd w:val="clear" w:color="auto" w:fill="FFFFFF"/>
          <w:lang w:bidi="ar"/>
        </w:rPr>
        <w:t>，</w:t>
      </w:r>
      <w:r>
        <w:rPr>
          <w:shd w:val="clear" w:color="auto" w:fill="FFFFFF"/>
          <w:lang w:bidi="ar"/>
        </w:rPr>
        <w:t>由中建五局华南公司承办的2024年</w:t>
      </w:r>
      <w:r>
        <w:rPr>
          <w:rFonts w:hint="eastAsia"/>
          <w:shd w:val="clear" w:color="auto" w:fill="FFFFFF"/>
          <w:lang w:bidi="ar"/>
        </w:rPr>
        <w:t>“</w:t>
      </w:r>
      <w:r>
        <w:rPr>
          <w:shd w:val="clear" w:color="auto" w:fill="FFFFFF"/>
          <w:lang w:bidi="ar"/>
        </w:rPr>
        <w:t>智造好房 建筑未来</w:t>
      </w:r>
      <w:r>
        <w:rPr>
          <w:rFonts w:hint="eastAsia"/>
          <w:shd w:val="clear" w:color="auto" w:fill="FFFFFF"/>
          <w:lang w:bidi="ar"/>
        </w:rPr>
        <w:t>”</w:t>
      </w:r>
      <w:r>
        <w:rPr>
          <w:shd w:val="clear" w:color="auto" w:fill="FFFFFF"/>
          <w:lang w:bidi="ar"/>
        </w:rPr>
        <w:t>广西壮族自治区质量安全现场观摩会在南宁市轨道3号线未来方舟项目举办</w:t>
      </w:r>
      <w:r>
        <w:rPr>
          <w:rFonts w:hint="eastAsia"/>
          <w:shd w:val="clear" w:color="auto" w:fill="FFFFFF"/>
          <w:lang w:bidi="ar"/>
        </w:rPr>
        <w:t>。</w:t>
      </w:r>
      <w:bookmarkStart w:id="42" w:name="_Hlk184577786"/>
      <w:r>
        <w:rPr>
          <w:rFonts w:hint="eastAsia"/>
          <w:shd w:val="clear" w:color="auto" w:fill="FFFFFF"/>
          <w:lang w:bidi="ar"/>
        </w:rPr>
        <w:t>南宁市轨道3号线未来方舟项目是广西首个地铁车辆段上盖超大型TOD</w:t>
      </w:r>
      <w:bookmarkEnd w:id="42"/>
      <w:r>
        <w:rPr>
          <w:rFonts w:hint="eastAsia"/>
          <w:shd w:val="clear" w:color="auto" w:fill="FFFFFF"/>
          <w:lang w:bidi="ar"/>
        </w:rPr>
        <w:t>，总建筑面积27.5万平方米。此前项目团队在售楼部建设过程中克服了主体异形高支模结构复杂等困难，打造出形似“方舟”的建筑，已成为当前南宁市最热门的新文化地标。</w:t>
      </w:r>
    </w:p>
    <w:p w14:paraId="507949EC">
      <w:pPr>
        <w:pStyle w:val="21"/>
        <w:spacing w:before="0" w:beforeAutospacing="0" w:after="240" w:afterAutospacing="0" w:line="372" w:lineRule="atLeast"/>
        <w:ind w:firstLine="480"/>
        <w:jc w:val="center"/>
        <w:rPr>
          <w:rFonts w:hint="eastAsia" w:ascii="黑体" w:hAnsi="黑体" w:eastAsia="黑体" w:cs="Arial"/>
          <w:color w:val="222222"/>
          <w:shd w:val="clear" w:color="auto" w:fill="FFFFFF"/>
          <w:lang w:bidi="ar"/>
        </w:rPr>
      </w:pPr>
      <w:r>
        <w:rPr>
          <w:rFonts w:hint="eastAsia" w:ascii="黑体" w:hAnsi="黑体" w:eastAsia="黑体" w:cs="Arial"/>
          <w:color w:val="222222"/>
          <w:shd w:val="clear" w:color="auto" w:fill="FFFFFF"/>
          <w:lang w:bidi="ar"/>
        </w:rPr>
        <w:drawing>
          <wp:inline distT="0" distB="0" distL="0" distR="0">
            <wp:extent cx="3599815" cy="2117090"/>
            <wp:effectExtent l="0" t="0" r="635" b="0"/>
            <wp:docPr id="1169220838" name="图片 3" descr="173268839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20838" name="图片 3" descr="1732688395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03141" cy="2119143"/>
                    </a:xfrm>
                    <a:prstGeom prst="rect">
                      <a:avLst/>
                    </a:prstGeom>
                    <a:noFill/>
                    <a:ln>
                      <a:noFill/>
                    </a:ln>
                  </pic:spPr>
                </pic:pic>
              </a:graphicData>
            </a:graphic>
          </wp:inline>
        </w:drawing>
      </w:r>
    </w:p>
    <w:p w14:paraId="066186C9">
      <w:pPr>
        <w:pStyle w:val="2"/>
        <w:numPr>
          <w:ilvl w:val="0"/>
          <w:numId w:val="5"/>
        </w:numPr>
        <w:rPr>
          <w:rFonts w:hint="eastAsia" w:ascii="仿宋" w:hAnsi="仿宋" w:cs="Arial"/>
          <w:color w:val="222222"/>
          <w:kern w:val="0"/>
          <w:szCs w:val="24"/>
          <w:shd w:val="clear" w:color="auto" w:fill="FFFFFF"/>
          <w:lang w:bidi="ar"/>
        </w:rPr>
      </w:pPr>
      <w:bookmarkStart w:id="43" w:name="_Toc184843569"/>
      <w:r>
        <w:rPr>
          <w:rFonts w:ascii="仿宋" w:hAnsi="仿宋" w:cs="Arial"/>
          <w:color w:val="222222"/>
          <w:kern w:val="0"/>
          <w:szCs w:val="24"/>
          <w:shd w:val="clear" w:color="auto" w:fill="FFFFFF"/>
          <w:lang w:bidi="ar"/>
        </w:rPr>
        <w:t>杭德市域铁路千秋广场站上盖物业TOD综合开发项目进入主体结构施工阶段</w:t>
      </w:r>
      <w:bookmarkEnd w:id="43"/>
    </w:p>
    <w:p w14:paraId="562DECAC">
      <w:pPr>
        <w:pStyle w:val="48"/>
        <w:ind w:firstLine="480"/>
        <w:rPr>
          <w:shd w:val="clear" w:color="auto" w:fill="FFFFFF"/>
          <w:lang w:bidi="ar"/>
        </w:rPr>
      </w:pPr>
      <w:r>
        <w:rPr>
          <w:shd w:val="clear" w:color="auto" w:fill="FFFFFF"/>
          <w:lang w:bidi="ar"/>
        </w:rPr>
        <w:t>近日</w:t>
      </w:r>
      <w:r>
        <w:rPr>
          <w:rFonts w:hint="eastAsia"/>
          <w:shd w:val="clear" w:color="auto" w:fill="FFFFFF"/>
          <w:lang w:bidi="ar"/>
        </w:rPr>
        <w:t>，</w:t>
      </w:r>
      <w:r>
        <w:rPr>
          <w:shd w:val="clear" w:color="auto" w:fill="FFFFFF"/>
          <w:lang w:bidi="ar"/>
        </w:rPr>
        <w:t>杭德市域铁路千秋广场站上盖物业TOD综合开发项目正式进入主体结构施工阶段</w:t>
      </w:r>
      <w:r>
        <w:rPr>
          <w:rFonts w:hint="eastAsia"/>
          <w:shd w:val="clear" w:color="auto" w:fill="FFFFFF"/>
          <w:lang w:bidi="ar"/>
        </w:rPr>
        <w:t>。</w:t>
      </w:r>
      <w:r>
        <w:rPr>
          <w:shd w:val="clear" w:color="auto" w:fill="FFFFFF"/>
          <w:lang w:bidi="ar"/>
        </w:rPr>
        <w:t>作为湖州首个市域铁路上盖开发项目，杭德市域铁路千秋广场站上盖物业TOD综合开发项目计划投资约1.48亿元，规划用地面积达17356平方米。其独特的设计理念将商业设施、广场、社会停车场与城市轨道交通用地完美融合，中部设计为春晖公园出入口广场，南北两侧则分别设置了两栋多层商业建筑，为市民提供多元化的体验。</w:t>
      </w:r>
    </w:p>
    <w:p w14:paraId="1D5C558E">
      <w:pPr>
        <w:pStyle w:val="42"/>
        <w:ind w:firstLine="480"/>
        <w:jc w:val="center"/>
        <w:rPr>
          <w:shd w:val="clear" w:color="auto" w:fill="FFF7EE"/>
          <w:lang w:bidi="ar"/>
        </w:rPr>
      </w:pPr>
      <w:r>
        <w:rPr>
          <w:shd w:val="clear" w:color="auto" w:fill="FFF7EE"/>
          <w:lang w:bidi="ar"/>
        </w:rPr>
        <w:fldChar w:fldCharType="begin"/>
      </w:r>
      <w:r>
        <w:rPr>
          <w:shd w:val="clear" w:color="auto" w:fill="FFF7EE"/>
          <w:lang w:bidi="ar"/>
        </w:rPr>
        <w:instrText xml:space="preserve">INCLUDEPICTURE \d "https://pic.rmb.bdstatic.com/bjh/news/5e963629d321dc6fdf86a9b3a8b82e7b.jpeg" \* MERGEFORMATINET </w:instrText>
      </w:r>
      <w:r>
        <w:rPr>
          <w:shd w:val="clear" w:color="auto" w:fill="FFF7EE"/>
          <w:lang w:bidi="ar"/>
        </w:rPr>
        <w:fldChar w:fldCharType="separate"/>
      </w:r>
      <w:r>
        <w:rPr>
          <w:rFonts w:hint="eastAsia"/>
          <w:shd w:val="clear" w:color="auto" w:fill="FFF7EE"/>
          <w:lang w:bidi="ar"/>
        </w:rPr>
        <w:fldChar w:fldCharType="begin"/>
      </w:r>
      <w:r>
        <w:rPr>
          <w:rFonts w:hint="eastAsia"/>
          <w:shd w:val="clear" w:color="auto" w:fill="FFF7EE"/>
          <w:lang w:bidi="ar"/>
        </w:rPr>
        <w:instrText xml:space="preserve"> INCLUDEPICTURE  "https://pic.rmb.bdstatic.com/bjh/news/5e963629d321dc6fdf86a9b3a8b82e7b.jpeg" \* MERGEFORMATINET </w:instrText>
      </w:r>
      <w:r>
        <w:rPr>
          <w:rFonts w:hint="eastAsia"/>
          <w:shd w:val="clear" w:color="auto" w:fill="FFF7EE"/>
          <w:lang w:bidi="ar"/>
        </w:rPr>
        <w:fldChar w:fldCharType="separate"/>
      </w:r>
      <w:r>
        <w:rPr>
          <w:rFonts w:hint="eastAsia"/>
          <w:shd w:val="clear" w:color="auto" w:fill="FFF7EE"/>
          <w:lang w:bidi="ar"/>
        </w:rPr>
        <w:fldChar w:fldCharType="begin"/>
      </w:r>
      <w:r>
        <w:rPr>
          <w:rFonts w:hint="eastAsia"/>
          <w:shd w:val="clear" w:color="auto" w:fill="FFF7EE"/>
          <w:lang w:bidi="ar"/>
        </w:rPr>
        <w:instrText xml:space="preserve"> INCLUDEPICTURE  "https://pic.rmb.bdstatic.com/bjh/news/5e963629d321dc6fdf86a9b3a8b82e7b.jpeg" \* MERGEFORMATINET </w:instrText>
      </w:r>
      <w:r>
        <w:rPr>
          <w:rFonts w:hint="eastAsia"/>
          <w:shd w:val="clear" w:color="auto" w:fill="FFF7EE"/>
          <w:lang w:bidi="ar"/>
        </w:rPr>
        <w:fldChar w:fldCharType="separate"/>
      </w:r>
      <w:r>
        <w:rPr>
          <w:shd w:val="clear" w:color="auto" w:fill="FFF7EE"/>
          <w:lang w:bidi="ar"/>
        </w:rPr>
        <w:fldChar w:fldCharType="begin"/>
      </w:r>
      <w:r>
        <w:rPr>
          <w:shd w:val="clear" w:color="auto" w:fill="FFF7EE"/>
          <w:lang w:bidi="ar"/>
        </w:rPr>
        <w:instrText xml:space="preserve"> INCLUDEPICTURE  "https://pic.rmb.bdstatic.com/bjh/news/5e963629d321dc6fdf86a9b3a8b82e7b.jpeg" \* MERGEFORMATINET </w:instrText>
      </w:r>
      <w:r>
        <w:rPr>
          <w:shd w:val="clear" w:color="auto" w:fill="FFF7EE"/>
          <w:lang w:bidi="ar"/>
        </w:rPr>
        <w:fldChar w:fldCharType="separate"/>
      </w:r>
      <w:r>
        <w:rPr>
          <w:shd w:val="clear" w:color="auto" w:fill="FFF7EE"/>
          <w:lang w:bidi="ar"/>
        </w:rPr>
        <w:pict>
          <v:shape id="_x0000_i1026" o:spt="75" alt="IMG_256" type="#_x0000_t75" style="height:159.85pt;width:283.5pt;" filled="f" o:preferrelative="t" stroked="f" coordsize="21600,21600">
            <v:path/>
            <v:fill on="f" focussize="0,0"/>
            <v:stroke on="f" joinstyle="miter"/>
            <v:imagedata r:id="rId18" r:href="rId19" o:title=""/>
            <o:lock v:ext="edit" aspectratio="t"/>
            <w10:wrap type="none"/>
            <w10:anchorlock/>
          </v:shape>
        </w:pict>
      </w:r>
      <w:r>
        <w:rPr>
          <w:shd w:val="clear" w:color="auto" w:fill="FFF7EE"/>
          <w:lang w:bidi="ar"/>
        </w:rPr>
        <w:fldChar w:fldCharType="end"/>
      </w:r>
      <w:r>
        <w:rPr>
          <w:rFonts w:hint="eastAsia"/>
          <w:shd w:val="clear" w:color="auto" w:fill="FFF7EE"/>
          <w:lang w:bidi="ar"/>
        </w:rPr>
        <w:fldChar w:fldCharType="end"/>
      </w:r>
      <w:r>
        <w:rPr>
          <w:rFonts w:hint="eastAsia"/>
          <w:shd w:val="clear" w:color="auto" w:fill="FFF7EE"/>
          <w:lang w:bidi="ar"/>
        </w:rPr>
        <w:fldChar w:fldCharType="end"/>
      </w:r>
      <w:r>
        <w:rPr>
          <w:shd w:val="clear" w:color="auto" w:fill="FFF7EE"/>
          <w:lang w:bidi="ar"/>
        </w:rPr>
        <w:fldChar w:fldCharType="end"/>
      </w:r>
    </w:p>
    <w:p w14:paraId="286F9405">
      <w:pPr>
        <w:pStyle w:val="2"/>
        <w:numPr>
          <w:ilvl w:val="0"/>
          <w:numId w:val="5"/>
        </w:numPr>
        <w:rPr>
          <w:rFonts w:hint="eastAsia" w:ascii="仿宋" w:hAnsi="仿宋" w:cs="Arial"/>
          <w:color w:val="222222"/>
          <w:shd w:val="clear" w:color="auto" w:fill="FFFFFF"/>
          <w:lang w:bidi="ar"/>
        </w:rPr>
      </w:pPr>
      <w:bookmarkStart w:id="44" w:name="_Toc184843570"/>
      <w:r>
        <w:rPr>
          <w:rFonts w:hint="eastAsia"/>
          <w:lang w:bidi="ar"/>
        </w:rPr>
        <w:t>天津市</w:t>
      </w:r>
      <w:r>
        <w:rPr>
          <w:rFonts w:ascii="仿宋" w:hAnsi="仿宋" w:cs="Arial"/>
          <w:color w:val="222222"/>
          <w:kern w:val="0"/>
          <w:szCs w:val="24"/>
          <w:shd w:val="clear" w:color="auto" w:fill="FFFFFF"/>
          <w:lang w:bidi="ar"/>
        </w:rPr>
        <w:t>西青区地铁2号线卞兴站周边片区城市更新项目</w:t>
      </w:r>
      <w:r>
        <w:rPr>
          <w:rFonts w:hint="eastAsia" w:ascii="仿宋" w:hAnsi="仿宋" w:cs="Arial"/>
          <w:color w:val="222222"/>
          <w:kern w:val="0"/>
          <w:szCs w:val="24"/>
          <w:shd w:val="clear" w:color="auto" w:fill="FFFFFF"/>
          <w:lang w:bidi="ar"/>
        </w:rPr>
        <w:t>启动</w:t>
      </w:r>
      <w:bookmarkEnd w:id="44"/>
    </w:p>
    <w:p w14:paraId="7F5B4B52">
      <w:pPr>
        <w:pStyle w:val="48"/>
        <w:ind w:firstLine="480"/>
        <w:rPr>
          <w:shd w:val="clear" w:color="auto" w:fill="FFFFFF"/>
          <w:lang w:bidi="ar"/>
        </w:rPr>
      </w:pPr>
      <w:r>
        <w:rPr>
          <w:shd w:val="clear" w:color="auto" w:fill="FFFFFF"/>
          <w:lang w:bidi="ar"/>
        </w:rPr>
        <w:t>11月23日，由天津轨道交通集团联合天津市西青区政府负责实施的西青区地铁2号线卞兴站周边片区城市更新项目，在市级各相关部门的大力支持下，从谋划到落地仅用67天，现正式启动。该项目是西青区首个城市更新项目，也是轨道交通集团第5个城市更新项目。项目位于西青区西营门街道，紧紧围绕地铁2号线卞兴站实施建设，东至月峰路，南至南运河北侧，西至瑞轩路，北至西青道，总用地面积约80公顷，实施更新后总建筑面积达到81万平方米。其中，提升改造老旧小区56.2万平方米，新建高品质友好社区、便民商业、学校等公共服务设施以及运动健康产业设施等共24.8万平方米。</w:t>
      </w:r>
    </w:p>
    <w:p w14:paraId="066A4273">
      <w:pPr>
        <w:pStyle w:val="2"/>
        <w:numPr>
          <w:ilvl w:val="0"/>
          <w:numId w:val="5"/>
        </w:numPr>
        <w:rPr>
          <w:rFonts w:hint="eastAsia" w:ascii="仿宋" w:hAnsi="仿宋" w:cs="Arial"/>
          <w:color w:val="222222"/>
          <w:kern w:val="0"/>
          <w:szCs w:val="24"/>
          <w:shd w:val="clear" w:color="auto" w:fill="FFFFFF"/>
          <w:lang w:bidi="ar"/>
        </w:rPr>
      </w:pPr>
      <w:bookmarkStart w:id="45" w:name="_Toc184843571"/>
      <w:r>
        <w:rPr>
          <w:rFonts w:ascii="仿宋" w:hAnsi="仿宋" w:cs="Arial"/>
          <w:color w:val="222222"/>
          <w:kern w:val="0"/>
          <w:szCs w:val="24"/>
          <w:shd w:val="clear" w:color="auto" w:fill="FFFFFF"/>
          <w:lang w:bidi="ar"/>
        </w:rPr>
        <w:t>济南轨道交通首个TOD综合体项目顺利封顶</w:t>
      </w:r>
      <w:bookmarkEnd w:id="45"/>
    </w:p>
    <w:p w14:paraId="315BA242">
      <w:pPr>
        <w:pStyle w:val="48"/>
        <w:ind w:firstLine="480"/>
        <w:rPr>
          <w:shd w:val="clear" w:color="auto" w:fill="FFFFFF"/>
          <w:lang w:bidi="ar"/>
        </w:rPr>
      </w:pPr>
      <w:r>
        <w:rPr>
          <w:shd w:val="clear" w:color="auto" w:fill="FFFFFF"/>
          <w:lang w:bidi="ar"/>
        </w:rPr>
        <w:t>11月26日上午，济南轨道交通首个TOD综合体项目顺利封顶。本项目是以轨道交通2号线与4号线换乘点为中心，打造出宜居、宜商、宜业的综合体项目。该项目位于张庄路与经十路交叉口西北角，毗邻腊山地铁站，总建筑面积约10万平方米。地块内建设一栋15层塔楼、一栋24层塔楼、四层商业裙房及地下三层附属车库。腊山站上盖开发项目将配套兼有乘客地铁换乘、商业、公共服务等功能，不仅能改善区域内公共交通条件，还将提升周边区域的商业价值，实现地块的复合开发综合利用，增加项目的综合服务能力。</w:t>
      </w:r>
    </w:p>
    <w:p w14:paraId="0F0C56D6">
      <w:pPr>
        <w:pStyle w:val="2"/>
        <w:numPr>
          <w:ilvl w:val="0"/>
          <w:numId w:val="5"/>
        </w:numPr>
        <w:rPr>
          <w:rFonts w:hint="eastAsia" w:ascii="仿宋" w:hAnsi="仿宋" w:cs="Arial"/>
          <w:color w:val="222222"/>
          <w:kern w:val="0"/>
          <w:szCs w:val="24"/>
          <w:shd w:val="clear" w:color="auto" w:fill="FFFFFF"/>
          <w:lang w:bidi="ar"/>
        </w:rPr>
      </w:pPr>
      <w:bookmarkStart w:id="46" w:name="_Toc184843572"/>
      <w:r>
        <w:rPr>
          <w:rFonts w:ascii="仿宋" w:hAnsi="仿宋" w:cs="Arial"/>
          <w:color w:val="222222"/>
          <w:kern w:val="0"/>
          <w:szCs w:val="24"/>
          <w:shd w:val="clear" w:color="auto" w:fill="FFFFFF"/>
          <w:lang w:bidi="ar"/>
        </w:rPr>
        <w:t>香港西九龙高铁站上盖项目IGC明年底完工</w:t>
      </w:r>
      <w:bookmarkEnd w:id="46"/>
    </w:p>
    <w:p w14:paraId="079611B8">
      <w:pPr>
        <w:pStyle w:val="48"/>
        <w:ind w:firstLine="480"/>
        <w:rPr>
          <w:shd w:val="clear" w:color="auto" w:fill="FFFFFF"/>
          <w:lang w:bidi="ar"/>
        </w:rPr>
      </w:pPr>
      <w:r>
        <w:rPr>
          <w:shd w:val="clear" w:color="auto" w:fill="FFFFFF"/>
          <w:lang w:bidi="ar"/>
        </w:rPr>
        <w:t>11月27日，位于香港西九龙的高铁站上盖商业项目International Gateway Centre（IGC）预计将于明年底完工，总楼面面积达</w:t>
      </w:r>
      <w:r>
        <w:rPr>
          <w:rFonts w:hint="eastAsia"/>
          <w:shd w:val="clear" w:color="auto" w:fill="FFFFFF"/>
          <w:lang w:bidi="ar"/>
        </w:rPr>
        <w:t>35.6万平方米</w:t>
      </w:r>
      <w:r>
        <w:rPr>
          <w:shd w:val="clear" w:color="auto" w:fill="FFFFFF"/>
          <w:lang w:bidi="ar"/>
        </w:rPr>
        <w:t>，包含约</w:t>
      </w:r>
      <w:r>
        <w:rPr>
          <w:rFonts w:hint="eastAsia"/>
          <w:shd w:val="clear" w:color="auto" w:fill="FFFFFF"/>
          <w:lang w:bidi="ar"/>
        </w:rPr>
        <w:t>28.9万平方米</w:t>
      </w:r>
      <w:r>
        <w:rPr>
          <w:shd w:val="clear" w:color="auto" w:fill="FFFFFF"/>
          <w:lang w:bidi="ar"/>
        </w:rPr>
        <w:t>的写字楼和</w:t>
      </w:r>
      <w:r>
        <w:rPr>
          <w:rFonts w:hint="eastAsia"/>
          <w:shd w:val="clear" w:color="auto" w:fill="FFFFFF"/>
          <w:lang w:bidi="ar"/>
        </w:rPr>
        <w:t>6.7万平方米</w:t>
      </w:r>
      <w:r>
        <w:rPr>
          <w:shd w:val="clear" w:color="auto" w:fill="FFFFFF"/>
          <w:lang w:bidi="ar"/>
        </w:rPr>
        <w:t>的零售空间。该项目自2019年由新鸿基地产以422亿港元高价投得，随着西九龙地区交通枢纽地位的确立及西九文化区的落成，区域人流和商业活动显著增长。新鸿基地产持有该项目约</w:t>
      </w:r>
      <w:r>
        <w:rPr>
          <w:rFonts w:hint="eastAsia"/>
          <w:shd w:val="clear" w:color="auto" w:fill="FFFFFF"/>
          <w:lang w:bidi="ar"/>
        </w:rPr>
        <w:t>13.3万平方米的</w:t>
      </w:r>
      <w:r>
        <w:rPr>
          <w:shd w:val="clear" w:color="auto" w:fill="FFFFFF"/>
          <w:lang w:bidi="ar"/>
        </w:rPr>
        <w:t>写字楼及全部零售空间，共约</w:t>
      </w:r>
      <w:r>
        <w:rPr>
          <w:rFonts w:hint="eastAsia"/>
          <w:shd w:val="clear" w:color="auto" w:fill="FFFFFF"/>
          <w:lang w:bidi="ar"/>
        </w:rPr>
        <w:t>20万平方米</w:t>
      </w:r>
      <w:r>
        <w:rPr>
          <w:shd w:val="clear" w:color="auto" w:fill="FFFFFF"/>
          <w:lang w:bidi="ar"/>
        </w:rPr>
        <w:t>。剩余的写字楼部分由中国平安人寿保险作为长期战略投资者持有约30%权益，该公司于2020年斥资约112.7亿港元入股。</w:t>
      </w:r>
    </w:p>
    <w:p w14:paraId="44A6F766">
      <w:pPr>
        <w:pStyle w:val="2"/>
        <w:numPr>
          <w:ilvl w:val="0"/>
          <w:numId w:val="5"/>
        </w:numPr>
        <w:rPr>
          <w:rFonts w:hint="eastAsia" w:ascii="仿宋" w:hAnsi="仿宋" w:cs="Arial"/>
          <w:color w:val="222222"/>
          <w:kern w:val="0"/>
          <w:szCs w:val="24"/>
          <w:shd w:val="clear" w:color="auto" w:fill="FFFFFF"/>
          <w:lang w:bidi="ar"/>
        </w:rPr>
      </w:pPr>
      <w:bookmarkStart w:id="47" w:name="_Toc184843573"/>
      <w:r>
        <w:rPr>
          <w:rFonts w:hint="eastAsia" w:ascii="仿宋" w:hAnsi="仿宋" w:cs="Arial"/>
          <w:color w:val="222222"/>
          <w:kern w:val="0"/>
          <w:szCs w:val="24"/>
          <w:shd w:val="clear" w:color="auto" w:fill="FFFFFF"/>
          <w:lang w:bidi="ar"/>
        </w:rPr>
        <w:t>成都市</w:t>
      </w:r>
      <w:r>
        <w:rPr>
          <w:rFonts w:ascii="仿宋" w:hAnsi="仿宋" w:cs="Arial"/>
          <w:color w:val="222222"/>
          <w:kern w:val="0"/>
          <w:szCs w:val="24"/>
          <w:shd w:val="clear" w:color="auto" w:fill="FFFFFF"/>
          <w:lang w:bidi="ar"/>
        </w:rPr>
        <w:t>锦江区林家坝TOD医疗用地项目一期主体封顶</w:t>
      </w:r>
      <w:bookmarkEnd w:id="47"/>
    </w:p>
    <w:p w14:paraId="66BC17E4">
      <w:pPr>
        <w:pStyle w:val="48"/>
        <w:ind w:firstLine="480"/>
        <w:rPr>
          <w:rFonts w:hint="eastAsia" w:ascii="仿宋" w:hAnsi="仿宋"/>
          <w:shd w:val="clear" w:color="auto" w:fill="FFFFFF"/>
          <w:lang w:bidi="ar"/>
        </w:rPr>
      </w:pPr>
      <w:r>
        <w:rPr>
          <w:rFonts w:ascii="仿宋" w:hAnsi="仿宋"/>
          <w:shd w:val="clear" w:color="auto" w:fill="FFFFFF"/>
          <w:lang w:bidi="ar"/>
        </w:rPr>
        <w:t>近日，</w:t>
      </w:r>
      <w:r>
        <w:rPr>
          <w:rFonts w:hint="eastAsia" w:ascii="仿宋" w:hAnsi="仿宋"/>
          <w:shd w:val="clear" w:color="auto" w:fill="FFFFFF"/>
          <w:lang w:bidi="ar"/>
        </w:rPr>
        <w:t>锦江区“六个一批”加快建设批次林家坝</w:t>
      </w:r>
      <w:r>
        <w:rPr>
          <w:rFonts w:ascii="仿宋" w:hAnsi="仿宋"/>
          <w:shd w:val="clear" w:color="auto" w:fill="FFFFFF"/>
          <w:lang w:bidi="ar"/>
        </w:rPr>
        <w:t>TOD</w:t>
      </w:r>
      <w:r>
        <w:rPr>
          <w:rFonts w:hint="eastAsia" w:ascii="仿宋" w:hAnsi="仿宋"/>
          <w:shd w:val="clear" w:color="auto" w:fill="FFFFFF"/>
          <w:lang w:bidi="ar"/>
        </w:rPr>
        <w:t>医疗用地项目一期主体封顶。林家坝</w:t>
      </w:r>
      <w:r>
        <w:rPr>
          <w:rFonts w:ascii="仿宋" w:hAnsi="仿宋"/>
          <w:shd w:val="clear" w:color="auto" w:fill="FFFFFF"/>
          <w:lang w:bidi="ar"/>
        </w:rPr>
        <w:t>TOD</w:t>
      </w:r>
      <w:r>
        <w:rPr>
          <w:rFonts w:hint="eastAsia" w:ascii="仿宋" w:hAnsi="仿宋"/>
          <w:shd w:val="clear" w:color="auto" w:fill="FFFFFF"/>
          <w:lang w:bidi="ar"/>
        </w:rPr>
        <w:t>医疗用地项目一期位于林家坝片区，锦江大道以南，锦阳大道以西，绕城高速以北，一期项目占地面积</w:t>
      </w:r>
      <w:r>
        <w:rPr>
          <w:rFonts w:ascii="仿宋" w:hAnsi="仿宋"/>
          <w:shd w:val="clear" w:color="auto" w:fill="FFFFFF"/>
          <w:lang w:bidi="ar"/>
        </w:rPr>
        <w:t>10</w:t>
      </w:r>
      <w:r>
        <w:rPr>
          <w:rFonts w:hint="eastAsia" w:ascii="仿宋" w:hAnsi="仿宋"/>
          <w:shd w:val="clear" w:color="auto" w:fill="FFFFFF"/>
          <w:lang w:bidi="ar"/>
        </w:rPr>
        <w:t>亩，建筑面积</w:t>
      </w:r>
      <w:r>
        <w:rPr>
          <w:rFonts w:ascii="仿宋" w:hAnsi="仿宋"/>
          <w:shd w:val="clear" w:color="auto" w:fill="FFFFFF"/>
          <w:lang w:bidi="ar"/>
        </w:rPr>
        <w:t>20000</w:t>
      </w:r>
      <w:r>
        <w:rPr>
          <w:rFonts w:hint="eastAsia" w:ascii="仿宋" w:hAnsi="仿宋"/>
          <w:shd w:val="clear" w:color="auto" w:fill="FFFFFF"/>
          <w:lang w:bidi="ar"/>
        </w:rPr>
        <w:t>平方米。</w:t>
      </w:r>
      <w:r>
        <w:rPr>
          <w:rFonts w:ascii="仿宋" w:hAnsi="仿宋"/>
          <w:shd w:val="clear" w:color="auto" w:fill="FFFFFF"/>
          <w:lang w:bidi="ar"/>
        </w:rPr>
        <w:t>该项目一期由</w:t>
      </w:r>
      <w:r>
        <w:rPr>
          <w:rFonts w:hint="eastAsia" w:ascii="仿宋" w:hAnsi="仿宋"/>
          <w:shd w:val="clear" w:color="auto" w:fill="FFFFFF"/>
          <w:lang w:bidi="ar"/>
        </w:rPr>
        <w:t>实验室及业务楼</w:t>
      </w:r>
      <w:r>
        <w:rPr>
          <w:rFonts w:ascii="仿宋" w:hAnsi="仿宋"/>
          <w:shd w:val="clear" w:color="auto" w:fill="FFFFFF"/>
          <w:lang w:bidi="ar"/>
        </w:rPr>
        <w:t>组成</w:t>
      </w:r>
      <w:r>
        <w:rPr>
          <w:rFonts w:hint="eastAsia" w:ascii="仿宋" w:hAnsi="仿宋"/>
          <w:shd w:val="clear" w:color="auto" w:fill="FFFFFF"/>
          <w:lang w:bidi="ar"/>
        </w:rPr>
        <w:t>，</w:t>
      </w:r>
      <w:r>
        <w:rPr>
          <w:rFonts w:ascii="仿宋" w:hAnsi="仿宋"/>
          <w:shd w:val="clear" w:color="auto" w:fill="FFFFFF"/>
          <w:lang w:bidi="ar"/>
        </w:rPr>
        <w:t>主要</w:t>
      </w:r>
      <w:r>
        <w:rPr>
          <w:rFonts w:hint="eastAsia" w:ascii="仿宋" w:hAnsi="仿宋"/>
          <w:shd w:val="clear" w:color="auto" w:fill="FFFFFF"/>
          <w:lang w:bidi="ar"/>
        </w:rPr>
        <w:t>包括建筑工程、安装工程、装饰装修工程、总平、绿化及配套工程等，作为</w:t>
      </w:r>
      <w:r>
        <w:rPr>
          <w:rFonts w:ascii="仿宋" w:hAnsi="仿宋"/>
          <w:shd w:val="clear" w:color="auto" w:fill="FFFFFF"/>
          <w:lang w:bidi="ar"/>
        </w:rPr>
        <w:t>“</w:t>
      </w:r>
      <w:r>
        <w:rPr>
          <w:rFonts w:hint="eastAsia" w:ascii="仿宋" w:hAnsi="仿宋"/>
          <w:shd w:val="clear" w:color="auto" w:fill="FFFFFF"/>
          <w:lang w:bidi="ar"/>
        </w:rPr>
        <w:t>成都市锦江区六个一批</w:t>
      </w:r>
      <w:r>
        <w:rPr>
          <w:rFonts w:ascii="仿宋" w:hAnsi="仿宋"/>
          <w:shd w:val="clear" w:color="auto" w:fill="FFFFFF"/>
          <w:lang w:bidi="ar"/>
        </w:rPr>
        <w:t>”加快建设</w:t>
      </w:r>
      <w:r>
        <w:rPr>
          <w:rFonts w:hint="eastAsia" w:ascii="仿宋" w:hAnsi="仿宋"/>
          <w:shd w:val="clear" w:color="auto" w:fill="FFFFFF"/>
          <w:lang w:bidi="ar"/>
        </w:rPr>
        <w:t>示范项目，于</w:t>
      </w:r>
      <w:r>
        <w:rPr>
          <w:rFonts w:ascii="仿宋" w:hAnsi="仿宋"/>
          <w:shd w:val="clear" w:color="auto" w:fill="FFFFFF"/>
          <w:lang w:bidi="ar"/>
        </w:rPr>
        <w:t>2023</w:t>
      </w:r>
      <w:r>
        <w:rPr>
          <w:rFonts w:hint="eastAsia" w:ascii="仿宋" w:hAnsi="仿宋"/>
          <w:shd w:val="clear" w:color="auto" w:fill="FFFFFF"/>
          <w:lang w:bidi="ar"/>
        </w:rPr>
        <w:t>年</w:t>
      </w:r>
      <w:r>
        <w:rPr>
          <w:rFonts w:ascii="仿宋" w:hAnsi="仿宋"/>
          <w:shd w:val="clear" w:color="auto" w:fill="FFFFFF"/>
          <w:lang w:bidi="ar"/>
        </w:rPr>
        <w:t>10</w:t>
      </w:r>
      <w:r>
        <w:rPr>
          <w:rFonts w:hint="eastAsia" w:ascii="仿宋" w:hAnsi="仿宋"/>
          <w:shd w:val="clear" w:color="auto" w:fill="FFFFFF"/>
          <w:lang w:bidi="ar"/>
        </w:rPr>
        <w:t>月开工建设，</w:t>
      </w:r>
      <w:r>
        <w:rPr>
          <w:rFonts w:ascii="仿宋" w:hAnsi="仿宋"/>
          <w:shd w:val="clear" w:color="auto" w:fill="FFFFFF"/>
          <w:lang w:bidi="ar"/>
        </w:rPr>
        <w:t>预计2025</w:t>
      </w:r>
      <w:r>
        <w:rPr>
          <w:rFonts w:hint="eastAsia" w:ascii="仿宋" w:hAnsi="仿宋"/>
          <w:shd w:val="clear" w:color="auto" w:fill="FFFFFF"/>
          <w:lang w:bidi="ar"/>
        </w:rPr>
        <w:t>年</w:t>
      </w:r>
      <w:r>
        <w:rPr>
          <w:rFonts w:ascii="仿宋" w:hAnsi="仿宋"/>
          <w:shd w:val="clear" w:color="auto" w:fill="FFFFFF"/>
          <w:lang w:bidi="ar"/>
        </w:rPr>
        <w:t>10</w:t>
      </w:r>
      <w:r>
        <w:rPr>
          <w:rFonts w:hint="eastAsia" w:ascii="仿宋" w:hAnsi="仿宋"/>
          <w:shd w:val="clear" w:color="auto" w:fill="FFFFFF"/>
          <w:lang w:bidi="ar"/>
        </w:rPr>
        <w:t>月竣工。</w:t>
      </w:r>
    </w:p>
    <w:p w14:paraId="296447CA">
      <w:pPr>
        <w:pStyle w:val="21"/>
        <w:spacing w:before="360" w:beforeAutospacing="0" w:after="0" w:afterAutospacing="0" w:line="23" w:lineRule="atLeast"/>
        <w:ind w:firstLine="480"/>
        <w:jc w:val="center"/>
        <w:rPr>
          <w:rFonts w:hint="eastAsia" w:ascii="黑体" w:hAnsi="黑体" w:eastAsia="黑体" w:cs="Helvetica"/>
          <w:color w:val="000000"/>
        </w:rPr>
      </w:pPr>
      <w:r>
        <w:rPr>
          <w:rFonts w:ascii="黑体" w:hAnsi="黑体" w:eastAsia="黑体" w:cs="Helvetica"/>
          <w:color w:val="000000"/>
        </w:rPr>
        <w:fldChar w:fldCharType="begin"/>
      </w:r>
      <w:r>
        <w:rPr>
          <w:rFonts w:ascii="黑体" w:hAnsi="黑体" w:eastAsia="黑体" w:cs="Helvetica"/>
          <w:color w:val="000000"/>
        </w:rPr>
        <w:instrText xml:space="preserve">INCLUDEPICTURE \d "http://upload.chengdu.cn/2024/1128/1732790948230.jpg" \* MERGEFORMATINET </w:instrText>
      </w:r>
      <w:r>
        <w:rPr>
          <w:rFonts w:ascii="黑体" w:hAnsi="黑体" w:eastAsia="黑体" w:cs="Helvetica"/>
          <w:color w:val="000000"/>
        </w:rPr>
        <w:fldChar w:fldCharType="separate"/>
      </w:r>
      <w:r>
        <w:rPr>
          <w:rFonts w:hint="eastAsia" w:ascii="黑体" w:hAnsi="黑体" w:eastAsia="黑体" w:cs="Helvetica"/>
          <w:color w:val="000000"/>
        </w:rPr>
        <w:fldChar w:fldCharType="begin"/>
      </w:r>
      <w:r>
        <w:rPr>
          <w:rFonts w:hint="eastAsia" w:ascii="黑体" w:hAnsi="黑体" w:eastAsia="黑体" w:cs="Helvetica"/>
          <w:color w:val="000000"/>
        </w:rPr>
        <w:instrText xml:space="preserve"> INCLUDEPICTURE  "http://upload.chengdu.cn/2024/1128/1732790948230.jpg" \* MERGEFORMATINET </w:instrText>
      </w:r>
      <w:r>
        <w:rPr>
          <w:rFonts w:hint="eastAsia" w:ascii="黑体" w:hAnsi="黑体" w:eastAsia="黑体" w:cs="Helvetica"/>
          <w:color w:val="000000"/>
        </w:rPr>
        <w:fldChar w:fldCharType="separate"/>
      </w:r>
      <w:r>
        <w:rPr>
          <w:rFonts w:hint="eastAsia" w:ascii="黑体" w:hAnsi="黑体" w:eastAsia="黑体" w:cs="Helvetica"/>
          <w:color w:val="000000"/>
        </w:rPr>
        <w:fldChar w:fldCharType="begin"/>
      </w:r>
      <w:r>
        <w:rPr>
          <w:rFonts w:hint="eastAsia" w:ascii="黑体" w:hAnsi="黑体" w:eastAsia="黑体" w:cs="Helvetica"/>
          <w:color w:val="000000"/>
        </w:rPr>
        <w:instrText xml:space="preserve"> INCLUDEPICTURE  "http://upload.chengdu.cn/2024/1128/1732790948230.jpg" \* MERGEFORMATINET </w:instrText>
      </w:r>
      <w:r>
        <w:rPr>
          <w:rFonts w:hint="eastAsia" w:ascii="黑体" w:hAnsi="黑体" w:eastAsia="黑体" w:cs="Helvetica"/>
          <w:color w:val="000000"/>
        </w:rPr>
        <w:fldChar w:fldCharType="separate"/>
      </w:r>
      <w:r>
        <w:rPr>
          <w:rFonts w:hint="eastAsia" w:ascii="黑体" w:hAnsi="黑体" w:eastAsia="黑体" w:cs="Helvetica"/>
          <w:color w:val="000000"/>
        </w:rPr>
        <w:fldChar w:fldCharType="begin"/>
      </w:r>
      <w:r>
        <w:rPr>
          <w:rFonts w:hint="eastAsia" w:ascii="黑体" w:hAnsi="黑体" w:eastAsia="黑体" w:cs="Helvetica"/>
          <w:color w:val="000000"/>
        </w:rPr>
        <w:instrText xml:space="preserve"> INCLUDEPICTURE  "http://upload.chengdu.cn/2024/1128/1732790948230.jpg" \* MERGEFORMATINET </w:instrText>
      </w:r>
      <w:r>
        <w:rPr>
          <w:rFonts w:hint="eastAsia" w:ascii="黑体" w:hAnsi="黑体" w:eastAsia="黑体" w:cs="Helvetica"/>
          <w:color w:val="000000"/>
        </w:rPr>
        <w:fldChar w:fldCharType="separate"/>
      </w:r>
      <w:r>
        <w:rPr>
          <w:rFonts w:ascii="黑体" w:hAnsi="黑体" w:eastAsia="黑体" w:cs="Helvetica"/>
          <w:color w:val="000000"/>
        </w:rPr>
        <w:pict>
          <v:shape id="_x0000_i1027" o:spt="75" alt="IMG_257" type="#_x0000_t75" style="height:160.6pt;width:286.1pt;" filled="f" o:preferrelative="t" stroked="f" coordsize="21600,21600">
            <v:path/>
            <v:fill on="f" focussize="0,0"/>
            <v:stroke on="f" joinstyle="miter"/>
            <v:imagedata r:id="rId20" r:href="rId21" o:title=""/>
            <o:lock v:ext="edit" aspectratio="t"/>
            <w10:wrap type="none"/>
            <w10:anchorlock/>
          </v:shape>
        </w:pict>
      </w:r>
      <w:r>
        <w:rPr>
          <w:rFonts w:hint="eastAsia" w:ascii="黑体" w:hAnsi="黑体" w:eastAsia="黑体" w:cs="Helvetica"/>
          <w:color w:val="000000"/>
        </w:rPr>
        <w:fldChar w:fldCharType="end"/>
      </w:r>
      <w:r>
        <w:rPr>
          <w:rFonts w:hint="eastAsia" w:ascii="黑体" w:hAnsi="黑体" w:eastAsia="黑体" w:cs="Helvetica"/>
          <w:color w:val="000000"/>
        </w:rPr>
        <w:fldChar w:fldCharType="end"/>
      </w:r>
      <w:r>
        <w:rPr>
          <w:rFonts w:hint="eastAsia" w:ascii="黑体" w:hAnsi="黑体" w:eastAsia="黑体" w:cs="Helvetica"/>
          <w:color w:val="000000"/>
        </w:rPr>
        <w:fldChar w:fldCharType="end"/>
      </w:r>
      <w:r>
        <w:rPr>
          <w:rFonts w:ascii="黑体" w:hAnsi="黑体" w:eastAsia="黑体" w:cs="Helvetica"/>
          <w:color w:val="000000"/>
        </w:rPr>
        <w:fldChar w:fldCharType="end"/>
      </w:r>
    </w:p>
    <w:p w14:paraId="1F4DCA54">
      <w:pPr>
        <w:pStyle w:val="2"/>
        <w:numPr>
          <w:ilvl w:val="0"/>
          <w:numId w:val="5"/>
        </w:numPr>
        <w:rPr>
          <w:rFonts w:hint="eastAsia" w:ascii="仿宋" w:hAnsi="仿宋" w:cs="Arial"/>
          <w:color w:val="222222"/>
          <w:kern w:val="0"/>
          <w:szCs w:val="24"/>
          <w:shd w:val="clear" w:color="auto" w:fill="FFFFFF"/>
          <w:lang w:bidi="ar"/>
        </w:rPr>
      </w:pPr>
      <w:bookmarkStart w:id="48" w:name="_Toc184843574"/>
      <w:r>
        <w:rPr>
          <w:rFonts w:hint="eastAsia" w:ascii="仿宋" w:hAnsi="仿宋" w:cs="Arial"/>
          <w:color w:val="222222"/>
          <w:kern w:val="0"/>
          <w:szCs w:val="24"/>
          <w:shd w:val="clear" w:color="auto" w:fill="FFFFFF"/>
          <w:lang w:bidi="ar"/>
        </w:rPr>
        <w:t>杭州</w:t>
      </w:r>
      <w:r>
        <w:rPr>
          <w:rFonts w:ascii="仿宋" w:hAnsi="仿宋" w:cs="Arial"/>
          <w:color w:val="222222"/>
          <w:kern w:val="0"/>
          <w:szCs w:val="24"/>
          <w:shd w:val="clear" w:color="auto" w:fill="FFFFFF"/>
          <w:lang w:bidi="ar"/>
        </w:rPr>
        <w:t>中邮鸿安TOD综合体调整公示</w:t>
      </w:r>
      <w:bookmarkEnd w:id="48"/>
    </w:p>
    <w:p w14:paraId="52AAA8E0">
      <w:pPr>
        <w:pStyle w:val="48"/>
        <w:ind w:firstLine="480"/>
        <w:rPr>
          <w:rFonts w:hint="eastAsia" w:ascii="仿宋" w:hAnsi="仿宋"/>
          <w:shd w:val="clear" w:color="auto" w:fill="FFFFFF"/>
          <w:lang w:bidi="ar"/>
        </w:rPr>
      </w:pPr>
      <w:r>
        <w:rPr>
          <w:rFonts w:hint="eastAsia" w:ascii="仿宋" w:hAnsi="仿宋"/>
          <w:shd w:val="clear" w:color="auto" w:fill="FFFFFF"/>
          <w:lang w:bidi="ar"/>
        </w:rPr>
        <w:t>11月28日，</w:t>
      </w:r>
      <w:r>
        <w:rPr>
          <w:rFonts w:ascii="仿宋" w:hAnsi="仿宋"/>
          <w:shd w:val="clear" w:color="auto" w:fill="FFFFFF"/>
          <w:lang w:bidi="ar"/>
        </w:rPr>
        <w:t>杭州中邮鸿安实业发展有限公司低效用地再开发商业商务项目批后修改，项目是紧邻奥体的七号线兴议站上盖。修改后方案</w:t>
      </w:r>
      <w:r>
        <w:rPr>
          <w:rFonts w:hint="eastAsia" w:ascii="仿宋" w:hAnsi="仿宋"/>
          <w:shd w:val="clear" w:color="auto" w:fill="FFFFFF"/>
          <w:lang w:bidi="ar"/>
        </w:rPr>
        <w:t>：</w:t>
      </w:r>
      <w:r>
        <w:rPr>
          <w:rFonts w:ascii="仿宋" w:hAnsi="仿宋"/>
          <w:shd w:val="clear" w:color="auto" w:fill="FFFFFF"/>
          <w:lang w:bidi="ar"/>
        </w:rPr>
        <w:t>建筑面积约19.21万平方米，包括2幢约140m的超高层办公、1幢约97m的高层办公及其三层商业裙房，计划工期1522天。项目旨在TOD模式下打造集办公、商业、文化为一体的混合功能区，建设产城融合下的区域性商务科创中心，实现“地标形象、站城融合、未来生活”的美好愿景。从设计之初，项目就以贯彻新发展理念为宗旨，坚持“以人为本”“尊重现状”与“可持续”原则，在保证地块内地铁安全性的前提下，建造生态型居住空间环境，满足建筑居住性、舒适性、安全性、耐久性和经济性，创造一个布局合理、功能齐备、交通便捷、环境优美、智能化的高品质现代商务办公集群。</w:t>
      </w:r>
    </w:p>
    <w:p w14:paraId="16E0CB1E">
      <w:pPr>
        <w:pStyle w:val="2"/>
        <w:numPr>
          <w:ilvl w:val="0"/>
          <w:numId w:val="5"/>
        </w:numPr>
        <w:rPr>
          <w:rFonts w:hint="eastAsia" w:ascii="仿宋" w:hAnsi="仿宋" w:cs="Arial"/>
          <w:color w:val="222222"/>
          <w:kern w:val="0"/>
          <w:szCs w:val="24"/>
          <w:shd w:val="clear" w:color="auto" w:fill="FFFFFF"/>
          <w:lang w:bidi="ar"/>
        </w:rPr>
      </w:pPr>
      <w:bookmarkStart w:id="49" w:name="_Toc184843575"/>
      <w:r>
        <w:rPr>
          <w:rFonts w:ascii="仿宋" w:hAnsi="仿宋" w:cs="Arial"/>
          <w:color w:val="222222"/>
          <w:kern w:val="0"/>
          <w:szCs w:val="24"/>
          <w:shd w:val="clear" w:color="auto" w:fill="FFFFFF"/>
          <w:lang w:bidi="ar"/>
        </w:rPr>
        <w:t>温州S1线永中站TOD综合开发项目启动</w:t>
      </w:r>
      <w:bookmarkEnd w:id="49"/>
    </w:p>
    <w:p w14:paraId="1F168D2D">
      <w:pPr>
        <w:pStyle w:val="48"/>
        <w:ind w:firstLine="480"/>
        <w:rPr>
          <w:rFonts w:hint="eastAsia" w:ascii="仿宋" w:hAnsi="仿宋"/>
          <w:shd w:val="clear" w:color="auto" w:fill="FFFFFF"/>
          <w:lang w:bidi="ar"/>
        </w:rPr>
      </w:pPr>
      <w:r>
        <w:rPr>
          <w:rFonts w:ascii="仿宋" w:hAnsi="仿宋"/>
          <w:shd w:val="clear" w:color="auto" w:fill="FFFFFF"/>
          <w:lang w:bidi="ar"/>
        </w:rPr>
        <w:t>11月29日，S1线永中站TOD开发项目开工仪式在龙湾区民富路举行。S1线永中站TOD开发项目位于温州东部综合交通枢纽核心区域，紧邻S1线永中站，距离机场直线距离不足2km。项目总投资约18.7亿元，总建筑面积约18万平方米，其中地上建筑面积约12.5万平方米，包括住宅面积约10.2万平方米，商业和办公面积约2.3万平方米，周边生活配套设施完善，教育资源丰富、商业繁华、医疗便捷、交通便利。该项目由绿城管理集团代管，温州建设集团承建。</w:t>
      </w:r>
    </w:p>
    <w:p w14:paraId="3F32BE74">
      <w:pPr>
        <w:widowControl/>
        <w:ind w:firstLine="480"/>
        <w:jc w:val="center"/>
        <w:rPr>
          <w:rFonts w:hint="eastAsia" w:ascii="黑体" w:hAnsi="黑体" w:eastAsia="黑体"/>
          <w:szCs w:val="24"/>
        </w:rPr>
      </w:pPr>
      <w:r>
        <w:rPr>
          <w:rFonts w:ascii="黑体" w:hAnsi="黑体" w:eastAsia="黑体" w:cs="宋体"/>
          <w:kern w:val="0"/>
          <w:szCs w:val="24"/>
          <w:lang w:bidi="ar"/>
        </w:rPr>
        <w:fldChar w:fldCharType="begin"/>
      </w:r>
      <w:r>
        <w:rPr>
          <w:rFonts w:ascii="黑体" w:hAnsi="黑体" w:eastAsia="黑体" w:cs="宋体"/>
          <w:kern w:val="0"/>
          <w:szCs w:val="24"/>
          <w:lang w:bidi="ar"/>
        </w:rPr>
        <w:instrText xml:space="preserve">INCLUDEPICTURE \d "https://mmbiz.qpic.cn/sz_mmbiz_jpg/dWYcaaoxYeqOL7Sw33WHia3UgjbDOjoJp4NNVybsaqaTDWOTAiaB83r9G5ZOdQ1V8P3jZGYfiaqXLVGvic50Ad0K4g/640?wx_fmt=other&amp;wxfrom=5&amp;wx_lazy=1&amp;wx_co=1&amp;tp=webp" \* MERGEFORMATINET </w:instrText>
      </w:r>
      <w:r>
        <w:rPr>
          <w:rFonts w:ascii="黑体" w:hAnsi="黑体" w:eastAsia="黑体" w:cs="宋体"/>
          <w:kern w:val="0"/>
          <w:szCs w:val="24"/>
          <w:lang w:bidi="ar"/>
        </w:rPr>
        <w:fldChar w:fldCharType="separate"/>
      </w:r>
      <w:r>
        <w:rPr>
          <w:rFonts w:hint="eastAsia" w:ascii="黑体" w:hAnsi="黑体" w:eastAsia="黑体" w:cs="宋体"/>
          <w:kern w:val="0"/>
          <w:szCs w:val="24"/>
          <w:lang w:bidi="ar"/>
        </w:rPr>
        <w:fldChar w:fldCharType="begin"/>
      </w:r>
      <w:r>
        <w:rPr>
          <w:rFonts w:hint="eastAsia" w:ascii="黑体" w:hAnsi="黑体" w:eastAsia="黑体" w:cs="宋体"/>
          <w:kern w:val="0"/>
          <w:szCs w:val="24"/>
          <w:lang w:bidi="ar"/>
        </w:rPr>
        <w:instrText xml:space="preserve"> INCLUDEPICTURE  "https://mmbiz.qpic.cn/sz_mmbiz_jpg/dWYcaaoxYeqOL7Sw33WHia3UgjbDOjoJp4NNVybsaqaTDWOTAiaB83r9G5ZOdQ1V8P3jZGYfiaqXLVGvic50Ad0K4g/640?wx_fmt=other&amp;wxfrom=5&amp;wx_lazy=1&amp;wx_co=1&amp;tp=webp" \* MERGEFORMATINET </w:instrText>
      </w:r>
      <w:r>
        <w:rPr>
          <w:rFonts w:hint="eastAsia" w:ascii="黑体" w:hAnsi="黑体" w:eastAsia="黑体" w:cs="宋体"/>
          <w:kern w:val="0"/>
          <w:szCs w:val="24"/>
          <w:lang w:bidi="ar"/>
        </w:rPr>
        <w:fldChar w:fldCharType="separate"/>
      </w:r>
      <w:r>
        <w:rPr>
          <w:rFonts w:hint="eastAsia" w:ascii="黑体" w:hAnsi="黑体" w:eastAsia="黑体" w:cs="宋体"/>
          <w:kern w:val="0"/>
          <w:szCs w:val="24"/>
          <w:lang w:bidi="ar"/>
        </w:rPr>
        <w:fldChar w:fldCharType="begin"/>
      </w:r>
      <w:r>
        <w:rPr>
          <w:rFonts w:hint="eastAsia" w:ascii="黑体" w:hAnsi="黑体" w:eastAsia="黑体" w:cs="宋体"/>
          <w:kern w:val="0"/>
          <w:szCs w:val="24"/>
          <w:lang w:bidi="ar"/>
        </w:rPr>
        <w:instrText xml:space="preserve"> INCLUDEPICTURE  "https://mmbiz.qpic.cn/sz_mmbiz_jpg/dWYcaaoxYeqOL7Sw33WHia3UgjbDOjoJp4NNVybsaqaTDWOTAiaB83r9G5ZOdQ1V8P3jZGYfiaqXLVGvic50Ad0K4g/640?wx_fmt=other&amp;wxfrom=5&amp;wx_lazy=1&amp;wx_co=1&amp;tp=webp" \* MERGEFORMATINET </w:instrText>
      </w:r>
      <w:r>
        <w:rPr>
          <w:rFonts w:hint="eastAsia" w:ascii="黑体" w:hAnsi="黑体" w:eastAsia="黑体" w:cs="宋体"/>
          <w:kern w:val="0"/>
          <w:szCs w:val="24"/>
          <w:lang w:bidi="ar"/>
        </w:rPr>
        <w:fldChar w:fldCharType="separate"/>
      </w:r>
      <w:r>
        <w:rPr>
          <w:rFonts w:hint="eastAsia" w:ascii="黑体" w:hAnsi="黑体" w:eastAsia="黑体" w:cs="宋体"/>
          <w:kern w:val="0"/>
          <w:szCs w:val="24"/>
          <w:lang w:bidi="ar"/>
        </w:rPr>
        <w:fldChar w:fldCharType="begin"/>
      </w:r>
      <w:r>
        <w:rPr>
          <w:rFonts w:hint="eastAsia" w:ascii="黑体" w:hAnsi="黑体" w:eastAsia="黑体" w:cs="宋体"/>
          <w:kern w:val="0"/>
          <w:szCs w:val="24"/>
          <w:lang w:bidi="ar"/>
        </w:rPr>
        <w:instrText xml:space="preserve"> INCLUDEPICTURE  "https://mmbiz.qpic.cn/sz_mmbiz_jpg/dWYcaaoxYeqOL7Sw33WHia3UgjbDOjoJp4NNVybsaqaTDWOTAiaB83r9G5ZOdQ1V8P3jZGYfiaqXLVGvic50Ad0K4g/640?wx_fmt=other&amp;wxfrom=5&amp;wx_lazy=1&amp;wx_co=1&amp;tp=webp" \* MERGEFORMATINET </w:instrText>
      </w:r>
      <w:r>
        <w:rPr>
          <w:rFonts w:hint="eastAsia" w:ascii="黑体" w:hAnsi="黑体" w:eastAsia="黑体" w:cs="宋体"/>
          <w:kern w:val="0"/>
          <w:szCs w:val="24"/>
          <w:lang w:bidi="ar"/>
        </w:rPr>
        <w:fldChar w:fldCharType="separate"/>
      </w:r>
      <w:r>
        <w:rPr>
          <w:rFonts w:ascii="黑体" w:hAnsi="黑体" w:eastAsia="黑体" w:cs="宋体"/>
          <w:kern w:val="0"/>
          <w:szCs w:val="24"/>
          <w:lang w:bidi="ar"/>
        </w:rPr>
        <w:pict>
          <v:shape id="_x0000_i1028" o:spt="75" type="#_x0000_t75" style="height:159.95pt;width:283.6pt;" filled="f" o:preferrelative="t" stroked="f" coordsize="21600,21600">
            <v:path/>
            <v:fill on="f" focussize="0,0"/>
            <v:stroke on="f" joinstyle="miter"/>
            <v:imagedata r:id="rId22" r:href="rId23" o:title=""/>
            <o:lock v:ext="edit" grouping="t" aspectratio="t"/>
            <w10:wrap type="none"/>
            <w10:anchorlock/>
          </v:shape>
        </w:pict>
      </w:r>
      <w:r>
        <w:rPr>
          <w:rFonts w:hint="eastAsia" w:ascii="黑体" w:hAnsi="黑体" w:eastAsia="黑体" w:cs="宋体"/>
          <w:kern w:val="0"/>
          <w:szCs w:val="24"/>
          <w:lang w:bidi="ar"/>
        </w:rPr>
        <w:fldChar w:fldCharType="end"/>
      </w:r>
      <w:r>
        <w:rPr>
          <w:rFonts w:hint="eastAsia" w:ascii="黑体" w:hAnsi="黑体" w:eastAsia="黑体" w:cs="宋体"/>
          <w:kern w:val="0"/>
          <w:szCs w:val="24"/>
          <w:lang w:bidi="ar"/>
        </w:rPr>
        <w:fldChar w:fldCharType="end"/>
      </w:r>
      <w:r>
        <w:rPr>
          <w:rFonts w:hint="eastAsia" w:ascii="黑体" w:hAnsi="黑体" w:eastAsia="黑体" w:cs="宋体"/>
          <w:kern w:val="0"/>
          <w:szCs w:val="24"/>
          <w:lang w:bidi="ar"/>
        </w:rPr>
        <w:fldChar w:fldCharType="end"/>
      </w:r>
      <w:r>
        <w:rPr>
          <w:rFonts w:ascii="黑体" w:hAnsi="黑体" w:eastAsia="黑体" w:cs="宋体"/>
          <w:kern w:val="0"/>
          <w:szCs w:val="24"/>
          <w:lang w:bidi="ar"/>
        </w:rPr>
        <w:fldChar w:fldCharType="end"/>
      </w:r>
    </w:p>
    <w:p w14:paraId="7C1C1D77">
      <w:pPr>
        <w:ind w:firstLine="480"/>
        <w:rPr>
          <w:rFonts w:hint="eastAsia" w:ascii="黑体" w:hAnsi="黑体" w:eastAsia="黑体"/>
          <w:szCs w:val="24"/>
        </w:rPr>
        <w:sectPr>
          <w:pgSz w:w="11906" w:h="16838"/>
          <w:pgMar w:top="1440" w:right="1800" w:bottom="1440" w:left="1800" w:header="1474" w:footer="964" w:gutter="0"/>
          <w:cols w:space="425" w:num="1"/>
          <w:docGrid w:type="lines" w:linePitch="326" w:charSpace="0"/>
        </w:sectPr>
      </w:pPr>
    </w:p>
    <w:p w14:paraId="492103A8">
      <w:pPr>
        <w:ind w:firstLine="480"/>
        <w:rPr>
          <w:rFonts w:hint="eastAsia" w:ascii="黑体" w:hAnsi="黑体" w:eastAsia="黑体"/>
          <w:szCs w:val="24"/>
        </w:rPr>
      </w:pPr>
      <w:r>
        <w:rPr>
          <w:rFonts w:hint="eastAsia" w:ascii="黑体" w:hAnsi="黑体" w:eastAsia="黑体"/>
          <w:szCs w:val="24"/>
        </w:rPr>
        <w:drawing>
          <wp:anchor distT="0" distB="0" distL="114300" distR="114300" simplePos="0" relativeHeight="251663360" behindDoc="1" locked="0" layoutInCell="1" allowOverlap="1">
            <wp:simplePos x="0" y="0"/>
            <wp:positionH relativeFrom="margin">
              <wp:align>center</wp:align>
            </wp:positionH>
            <wp:positionV relativeFrom="paragraph">
              <wp:posOffset>-901700</wp:posOffset>
            </wp:positionV>
            <wp:extent cx="7542530" cy="10664825"/>
            <wp:effectExtent l="0" t="0" r="1270" b="317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2627" cy="10664867"/>
                    </a:xfrm>
                    <a:prstGeom prst="rect">
                      <a:avLst/>
                    </a:prstGeom>
                  </pic:spPr>
                </pic:pic>
              </a:graphicData>
            </a:graphic>
          </wp:anchor>
        </w:drawing>
      </w:r>
    </w:p>
    <w:p w14:paraId="2707E75A">
      <w:pPr>
        <w:ind w:firstLine="480"/>
        <w:rPr>
          <w:rFonts w:hint="eastAsia" w:ascii="黑体" w:hAnsi="黑体" w:eastAsia="黑体"/>
          <w:szCs w:val="24"/>
        </w:rPr>
      </w:pPr>
    </w:p>
    <w:p w14:paraId="62E4CC8B">
      <w:pPr>
        <w:ind w:firstLine="480"/>
        <w:rPr>
          <w:rFonts w:hint="eastAsia" w:ascii="黑体" w:hAnsi="黑体" w:eastAsia="黑体"/>
          <w:szCs w:val="24"/>
        </w:rPr>
      </w:pPr>
      <w:r>
        <w:rPr>
          <w:rFonts w:ascii="黑体" w:hAnsi="黑体" w:eastAsia="黑体"/>
          <w:szCs w:val="24"/>
        </w:rPr>
        <mc:AlternateContent>
          <mc:Choice Requires="wps">
            <w:drawing>
              <wp:anchor distT="45720" distB="45720" distL="114300" distR="114300" simplePos="0" relativeHeight="251664384" behindDoc="0" locked="0" layoutInCell="1" allowOverlap="1">
                <wp:simplePos x="0" y="0"/>
                <wp:positionH relativeFrom="column">
                  <wp:posOffset>1531620</wp:posOffset>
                </wp:positionH>
                <wp:positionV relativeFrom="paragraph">
                  <wp:posOffset>855980</wp:posOffset>
                </wp:positionV>
                <wp:extent cx="2106295" cy="1280160"/>
                <wp:effectExtent l="0" t="0" r="0" b="0"/>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6295" cy="1280160"/>
                        </a:xfrm>
                        <a:prstGeom prst="rect">
                          <a:avLst/>
                        </a:prstGeom>
                        <a:noFill/>
                        <a:ln w="9525">
                          <a:noFill/>
                          <a:miter lim="800000"/>
                        </a:ln>
                      </wps:spPr>
                      <wps:txbx>
                        <w:txbxContent>
                          <w:p w14:paraId="4AE4B21F">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rPr>
                                <w:rFonts w:hint="eastAsi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120.6pt;margin-top:67.4pt;height:100.8pt;width:165.85pt;mso-wrap-distance-bottom:3.6pt;mso-wrap-distance-left:9pt;mso-wrap-distance-right:9pt;mso-wrap-distance-top:3.6pt;z-index:251664384;mso-width-relative:margin;mso-height-relative:margin;mso-width-percent:400;mso-height-percent:200;" filled="f" stroked="f" coordsize="21600,21600" o:gfxdata="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i6187YAAAACwEAAA8AAAAAAAAAAQAgAAAAIgAAAGRycy9kb3ducmV2LnhtbFBLAQIUABQAAAAI&#10;AIdO4kAzxNFtJgIAACoEAAAOAAAAAAAAAAEAIAAAACcBAABkcnMvZTJvRG9jLnhtbFBLBQYAAAAA&#10;BgAGAFkBAAC/BQAAAAA=&#10;">
                <v:fill on="f" focussize="0,0"/>
                <v:stroke on="f" miterlimit="8" joinstyle="miter"/>
                <v:imagedata o:title=""/>
                <o:lock v:ext="edit" aspectratio="f"/>
                <v:textbox style="mso-fit-shape-to-text:t;">
                  <w:txbxContent>
                    <w:p w14:paraId="4AE4B21F">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rPr>
                          <w:rFonts w:hint="eastAsia"/>
                        </w:rPr>
                      </w:pPr>
                    </w:p>
                  </w:txbxContent>
                </v:textbox>
                <w10:wrap type="square"/>
              </v:shape>
            </w:pict>
          </mc:Fallback>
        </mc:AlternateConten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仿宋_GB2312">
    <w:panose1 w:val="02000000000000000000"/>
    <w:charset w:val="86"/>
    <w:family w:val="auto"/>
    <w:pitch w:val="default"/>
    <w:sig w:usb0="A00002BF" w:usb1="184F6CFA" w:usb2="00000012" w:usb3="00000000" w:csb0="00040001" w:csb1="00000000"/>
  </w:font>
  <w:font w:name="方正仿宋_GBK">
    <w:panose1 w:val="03000509000000000000"/>
    <w:charset w:val="86"/>
    <w:family w:val="auto"/>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0458022"/>
      <w:docPartObj>
        <w:docPartGallery w:val="AutoText"/>
      </w:docPartObj>
    </w:sdtPr>
    <w:sdtContent>
      <w:p w14:paraId="5CB8950F">
        <w:pPr>
          <w:pStyle w:val="15"/>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810E90F">
    <w:pPr>
      <w:pStyle w:val="15"/>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AE71D">
    <w:pPr>
      <w:pStyle w:val="15"/>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645C">
    <w:pPr>
      <w:pStyle w:val="15"/>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06754">
    <w:pPr>
      <w:pStyle w:val="16"/>
      <w:pBdr>
        <w:bottom w:val="none" w:color="auto" w:sz="0" w:space="0"/>
      </w:pBdr>
      <w:ind w:firstLine="480"/>
      <w:rPr>
        <w:rFonts w:hint="eastAsia"/>
      </w:rPr>
    </w:pPr>
    <w:r>
      <w:rPr>
        <w:rFonts w:hint="eastAsia" w:ascii="仿宋" w:hAnsi="仿宋"/>
        <w:sz w:val="24"/>
        <w:szCs w:val="36"/>
      </w:rPr>
      <w:drawing>
        <wp:anchor distT="0" distB="0" distL="114300" distR="114300" simplePos="0" relativeHeight="251660288"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1689270013" name="图片 168927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70013" name="图片 16892700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D5B50">
    <w:pPr>
      <w:pStyle w:val="16"/>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DEC6D">
    <w:pPr>
      <w:pStyle w:val="16"/>
      <w:pBdr>
        <w:bottom w:val="none" w:color="auto" w:sz="0" w:space="0"/>
      </w:pBdr>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0D6C0">
    <w:pPr>
      <w:pStyle w:val="16"/>
      <w:pBdr>
        <w:bottom w:val="none" w:color="auto" w:sz="0" w:space="0"/>
      </w:pBdr>
      <w:ind w:firstLine="0" w:firstLineChars="0"/>
      <w:jc w:val="both"/>
      <w:rPr>
        <w:rFonts w:hint="eastAsia"/>
      </w:rPr>
    </w:pPr>
    <w:r>
      <w:rPr>
        <w:rFonts w:hint="eastAsia" w:ascii="仿宋" w:hAnsi="仿宋"/>
        <w:sz w:val="24"/>
        <w:szCs w:val="36"/>
      </w:rPr>
      <w:drawing>
        <wp:anchor distT="0" distB="0" distL="114300" distR="114300" simplePos="0" relativeHeight="251662336"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435533951" name="图片 4355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3951" name="图片 43553395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F6C3">
    <w:pPr>
      <w:pStyle w:val="16"/>
      <w:pBdr>
        <w:bottom w:val="none" w:color="auto" w:sz="0" w:space="0"/>
      </w:pBdr>
      <w:ind w:firstLine="0" w:firstLineChars="0"/>
      <w:jc w:val="both"/>
      <w:rPr>
        <w:rFonts w:hint="eastAsia"/>
      </w:rPr>
    </w:pPr>
    <w:r>
      <w:rPr>
        <w:rFonts w:hint="eastAsia" w:ascii="仿宋" w:hAnsi="仿宋"/>
        <w:sz w:val="24"/>
        <w:szCs w:val="36"/>
      </w:rPr>
      <w:drawing>
        <wp:anchor distT="0" distB="0" distL="114300" distR="114300" simplePos="0" relativeHeight="251661312"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948416721" name="图片 94841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16721" name="图片 9484167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DD6C09"/>
    <w:multiLevelType w:val="multilevel"/>
    <w:tmpl w:val="0ADD6C09"/>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2CFD346D"/>
    <w:multiLevelType w:val="multilevel"/>
    <w:tmpl w:val="2CFD346D"/>
    <w:lvl w:ilvl="0" w:tentative="0">
      <w:start w:val="1"/>
      <w:numFmt w:val="bullet"/>
      <w:pStyle w:val="22"/>
      <w:lvlText w:val=""/>
      <w:lvlJc w:val="left"/>
      <w:pPr>
        <w:ind w:left="420" w:hanging="420"/>
      </w:pPr>
      <w:rPr>
        <w:rFonts w:hint="default" w:ascii="Wingdings" w:hAnsi="Wingdings"/>
      </w:rPr>
    </w:lvl>
    <w:lvl w:ilvl="1" w:tentative="0">
      <w:start w:val="1"/>
      <w:numFmt w:val="bullet"/>
      <w:pStyle w:val="18"/>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CA406B8"/>
    <w:multiLevelType w:val="multilevel"/>
    <w:tmpl w:val="4CA406B8"/>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88B02B4"/>
    <w:multiLevelType w:val="multilevel"/>
    <w:tmpl w:val="588B02B4"/>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CD55DB0"/>
    <w:multiLevelType w:val="multilevel"/>
    <w:tmpl w:val="7CD55DB0"/>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C47"/>
    <w:rsid w:val="00000211"/>
    <w:rsid w:val="00001568"/>
    <w:rsid w:val="00003C2D"/>
    <w:rsid w:val="00004B22"/>
    <w:rsid w:val="00007B7E"/>
    <w:rsid w:val="000105CE"/>
    <w:rsid w:val="00010AAC"/>
    <w:rsid w:val="0001284A"/>
    <w:rsid w:val="0001370D"/>
    <w:rsid w:val="00014BF4"/>
    <w:rsid w:val="000167A1"/>
    <w:rsid w:val="000179F5"/>
    <w:rsid w:val="00020116"/>
    <w:rsid w:val="00020170"/>
    <w:rsid w:val="00020A19"/>
    <w:rsid w:val="00020B19"/>
    <w:rsid w:val="0002155E"/>
    <w:rsid w:val="00023A7E"/>
    <w:rsid w:val="00025B53"/>
    <w:rsid w:val="0002641E"/>
    <w:rsid w:val="00030514"/>
    <w:rsid w:val="000316B5"/>
    <w:rsid w:val="00032EF8"/>
    <w:rsid w:val="000369C6"/>
    <w:rsid w:val="00040674"/>
    <w:rsid w:val="00041C05"/>
    <w:rsid w:val="000427BE"/>
    <w:rsid w:val="0004280B"/>
    <w:rsid w:val="00045767"/>
    <w:rsid w:val="00045A8D"/>
    <w:rsid w:val="00046852"/>
    <w:rsid w:val="00050D93"/>
    <w:rsid w:val="000524B4"/>
    <w:rsid w:val="000538A1"/>
    <w:rsid w:val="00055E97"/>
    <w:rsid w:val="00056742"/>
    <w:rsid w:val="00056B5A"/>
    <w:rsid w:val="00056DA1"/>
    <w:rsid w:val="00057A4A"/>
    <w:rsid w:val="0006000F"/>
    <w:rsid w:val="00060FE7"/>
    <w:rsid w:val="000614BF"/>
    <w:rsid w:val="00061828"/>
    <w:rsid w:val="00061B91"/>
    <w:rsid w:val="0006310C"/>
    <w:rsid w:val="00064739"/>
    <w:rsid w:val="000669D2"/>
    <w:rsid w:val="000726E2"/>
    <w:rsid w:val="00081D97"/>
    <w:rsid w:val="00082B29"/>
    <w:rsid w:val="00083A19"/>
    <w:rsid w:val="00086765"/>
    <w:rsid w:val="00087FE4"/>
    <w:rsid w:val="000914A2"/>
    <w:rsid w:val="00091F60"/>
    <w:rsid w:val="00092EE2"/>
    <w:rsid w:val="000934C3"/>
    <w:rsid w:val="00093841"/>
    <w:rsid w:val="00093D0D"/>
    <w:rsid w:val="00093EE1"/>
    <w:rsid w:val="00094049"/>
    <w:rsid w:val="0009499A"/>
    <w:rsid w:val="0009540A"/>
    <w:rsid w:val="000A047E"/>
    <w:rsid w:val="000A2D6E"/>
    <w:rsid w:val="000A75E6"/>
    <w:rsid w:val="000B3882"/>
    <w:rsid w:val="000B496D"/>
    <w:rsid w:val="000B4FD2"/>
    <w:rsid w:val="000B6379"/>
    <w:rsid w:val="000C0EEA"/>
    <w:rsid w:val="000C0F57"/>
    <w:rsid w:val="000C125E"/>
    <w:rsid w:val="000C362F"/>
    <w:rsid w:val="000C3CB1"/>
    <w:rsid w:val="000C51DD"/>
    <w:rsid w:val="000C5490"/>
    <w:rsid w:val="000C5E30"/>
    <w:rsid w:val="000C5E75"/>
    <w:rsid w:val="000C5F7A"/>
    <w:rsid w:val="000C5FD7"/>
    <w:rsid w:val="000C68CD"/>
    <w:rsid w:val="000D1385"/>
    <w:rsid w:val="000D3D83"/>
    <w:rsid w:val="000D5176"/>
    <w:rsid w:val="000D6BAB"/>
    <w:rsid w:val="000E36D6"/>
    <w:rsid w:val="000E56C7"/>
    <w:rsid w:val="000F1676"/>
    <w:rsid w:val="000F2AB9"/>
    <w:rsid w:val="000F308B"/>
    <w:rsid w:val="000F3E0B"/>
    <w:rsid w:val="000F7FD0"/>
    <w:rsid w:val="00100243"/>
    <w:rsid w:val="001033B2"/>
    <w:rsid w:val="001039C1"/>
    <w:rsid w:val="00103BF8"/>
    <w:rsid w:val="00103E77"/>
    <w:rsid w:val="001043E4"/>
    <w:rsid w:val="00106410"/>
    <w:rsid w:val="00107286"/>
    <w:rsid w:val="00107304"/>
    <w:rsid w:val="00111E43"/>
    <w:rsid w:val="0011287D"/>
    <w:rsid w:val="00112E2E"/>
    <w:rsid w:val="001131BA"/>
    <w:rsid w:val="00113380"/>
    <w:rsid w:val="0011422C"/>
    <w:rsid w:val="00116136"/>
    <w:rsid w:val="0012111B"/>
    <w:rsid w:val="0012391C"/>
    <w:rsid w:val="00123F59"/>
    <w:rsid w:val="00124FB2"/>
    <w:rsid w:val="00126B7C"/>
    <w:rsid w:val="0012710F"/>
    <w:rsid w:val="00132F9D"/>
    <w:rsid w:val="00134FAD"/>
    <w:rsid w:val="001362C7"/>
    <w:rsid w:val="00140AE2"/>
    <w:rsid w:val="00141DC7"/>
    <w:rsid w:val="00141E1E"/>
    <w:rsid w:val="00142817"/>
    <w:rsid w:val="0014422F"/>
    <w:rsid w:val="00145315"/>
    <w:rsid w:val="00145DE7"/>
    <w:rsid w:val="00146C3F"/>
    <w:rsid w:val="001505DE"/>
    <w:rsid w:val="00150636"/>
    <w:rsid w:val="00150B2A"/>
    <w:rsid w:val="00152E8F"/>
    <w:rsid w:val="00152F3F"/>
    <w:rsid w:val="00153066"/>
    <w:rsid w:val="00153CF3"/>
    <w:rsid w:val="00154120"/>
    <w:rsid w:val="00154149"/>
    <w:rsid w:val="0015538D"/>
    <w:rsid w:val="001559B7"/>
    <w:rsid w:val="00156EFD"/>
    <w:rsid w:val="00157E9F"/>
    <w:rsid w:val="00160642"/>
    <w:rsid w:val="00161781"/>
    <w:rsid w:val="0016196D"/>
    <w:rsid w:val="00161ED1"/>
    <w:rsid w:val="001621A8"/>
    <w:rsid w:val="0016383E"/>
    <w:rsid w:val="00163882"/>
    <w:rsid w:val="001649C1"/>
    <w:rsid w:val="001650F2"/>
    <w:rsid w:val="00165B1D"/>
    <w:rsid w:val="00167173"/>
    <w:rsid w:val="001718B5"/>
    <w:rsid w:val="00171ABF"/>
    <w:rsid w:val="00172080"/>
    <w:rsid w:val="001726A9"/>
    <w:rsid w:val="00172726"/>
    <w:rsid w:val="00172F04"/>
    <w:rsid w:val="00175AC8"/>
    <w:rsid w:val="00175F6C"/>
    <w:rsid w:val="001778D0"/>
    <w:rsid w:val="00177C22"/>
    <w:rsid w:val="0018279E"/>
    <w:rsid w:val="0018323F"/>
    <w:rsid w:val="00185906"/>
    <w:rsid w:val="00186342"/>
    <w:rsid w:val="001868C6"/>
    <w:rsid w:val="00186950"/>
    <w:rsid w:val="0018796D"/>
    <w:rsid w:val="00190296"/>
    <w:rsid w:val="00190A78"/>
    <w:rsid w:val="00191D87"/>
    <w:rsid w:val="00192D2D"/>
    <w:rsid w:val="001933EA"/>
    <w:rsid w:val="001960CC"/>
    <w:rsid w:val="0019690B"/>
    <w:rsid w:val="0019780A"/>
    <w:rsid w:val="001A324B"/>
    <w:rsid w:val="001A40BD"/>
    <w:rsid w:val="001A57AA"/>
    <w:rsid w:val="001B093C"/>
    <w:rsid w:val="001B1248"/>
    <w:rsid w:val="001B1CCB"/>
    <w:rsid w:val="001B3A5A"/>
    <w:rsid w:val="001B3B2E"/>
    <w:rsid w:val="001B45D4"/>
    <w:rsid w:val="001C0988"/>
    <w:rsid w:val="001C107B"/>
    <w:rsid w:val="001C356E"/>
    <w:rsid w:val="001C412B"/>
    <w:rsid w:val="001C49E7"/>
    <w:rsid w:val="001C4EB5"/>
    <w:rsid w:val="001C6E97"/>
    <w:rsid w:val="001C7EDF"/>
    <w:rsid w:val="001D00A6"/>
    <w:rsid w:val="001D0525"/>
    <w:rsid w:val="001D18DF"/>
    <w:rsid w:val="001D216E"/>
    <w:rsid w:val="001D24BB"/>
    <w:rsid w:val="001D2A30"/>
    <w:rsid w:val="001D2C8C"/>
    <w:rsid w:val="001D32C1"/>
    <w:rsid w:val="001D3587"/>
    <w:rsid w:val="001D66D9"/>
    <w:rsid w:val="001E407C"/>
    <w:rsid w:val="001E4108"/>
    <w:rsid w:val="001E41C9"/>
    <w:rsid w:val="001E7607"/>
    <w:rsid w:val="001F2200"/>
    <w:rsid w:val="001F2F73"/>
    <w:rsid w:val="001F35F5"/>
    <w:rsid w:val="001F65AA"/>
    <w:rsid w:val="001F6DB7"/>
    <w:rsid w:val="001F6FDA"/>
    <w:rsid w:val="001F737F"/>
    <w:rsid w:val="001F7E1D"/>
    <w:rsid w:val="0020031A"/>
    <w:rsid w:val="00200B3A"/>
    <w:rsid w:val="00200BAC"/>
    <w:rsid w:val="00202A0D"/>
    <w:rsid w:val="00203787"/>
    <w:rsid w:val="002044A2"/>
    <w:rsid w:val="00204A75"/>
    <w:rsid w:val="00205096"/>
    <w:rsid w:val="00205D7B"/>
    <w:rsid w:val="002100D0"/>
    <w:rsid w:val="002110B8"/>
    <w:rsid w:val="002119B4"/>
    <w:rsid w:val="00211BD9"/>
    <w:rsid w:val="00213E59"/>
    <w:rsid w:val="00217B5A"/>
    <w:rsid w:val="0022046D"/>
    <w:rsid w:val="00220E63"/>
    <w:rsid w:val="002219E7"/>
    <w:rsid w:val="002225CC"/>
    <w:rsid w:val="00223264"/>
    <w:rsid w:val="002255E3"/>
    <w:rsid w:val="0022783B"/>
    <w:rsid w:val="0023223B"/>
    <w:rsid w:val="002342C7"/>
    <w:rsid w:val="00236567"/>
    <w:rsid w:val="00237278"/>
    <w:rsid w:val="00237A64"/>
    <w:rsid w:val="00240334"/>
    <w:rsid w:val="0024504B"/>
    <w:rsid w:val="00253138"/>
    <w:rsid w:val="002537FB"/>
    <w:rsid w:val="0025581B"/>
    <w:rsid w:val="00255E7A"/>
    <w:rsid w:val="00256978"/>
    <w:rsid w:val="00257CEB"/>
    <w:rsid w:val="00257DEF"/>
    <w:rsid w:val="00260182"/>
    <w:rsid w:val="00260388"/>
    <w:rsid w:val="00261F9A"/>
    <w:rsid w:val="0026238C"/>
    <w:rsid w:val="00264660"/>
    <w:rsid w:val="002647AE"/>
    <w:rsid w:val="00264A8E"/>
    <w:rsid w:val="00265326"/>
    <w:rsid w:val="00266710"/>
    <w:rsid w:val="002669ED"/>
    <w:rsid w:val="00267014"/>
    <w:rsid w:val="00270CA8"/>
    <w:rsid w:val="00271D68"/>
    <w:rsid w:val="00272E6C"/>
    <w:rsid w:val="0027422E"/>
    <w:rsid w:val="00274372"/>
    <w:rsid w:val="00275363"/>
    <w:rsid w:val="00276494"/>
    <w:rsid w:val="002777FB"/>
    <w:rsid w:val="00280205"/>
    <w:rsid w:val="0028432E"/>
    <w:rsid w:val="002850A9"/>
    <w:rsid w:val="00286D65"/>
    <w:rsid w:val="0028729D"/>
    <w:rsid w:val="00290024"/>
    <w:rsid w:val="0029076B"/>
    <w:rsid w:val="00291C03"/>
    <w:rsid w:val="00291DE6"/>
    <w:rsid w:val="00292684"/>
    <w:rsid w:val="00292C4B"/>
    <w:rsid w:val="0029364F"/>
    <w:rsid w:val="002969DF"/>
    <w:rsid w:val="002A07BE"/>
    <w:rsid w:val="002A3779"/>
    <w:rsid w:val="002A3A67"/>
    <w:rsid w:val="002A43D3"/>
    <w:rsid w:val="002A5010"/>
    <w:rsid w:val="002A6019"/>
    <w:rsid w:val="002A6410"/>
    <w:rsid w:val="002B090E"/>
    <w:rsid w:val="002B09AB"/>
    <w:rsid w:val="002B1CB4"/>
    <w:rsid w:val="002B30DB"/>
    <w:rsid w:val="002C05A0"/>
    <w:rsid w:val="002C05DB"/>
    <w:rsid w:val="002C0652"/>
    <w:rsid w:val="002C0ED7"/>
    <w:rsid w:val="002C2027"/>
    <w:rsid w:val="002C3274"/>
    <w:rsid w:val="002C337D"/>
    <w:rsid w:val="002C42DE"/>
    <w:rsid w:val="002C58C5"/>
    <w:rsid w:val="002C6A08"/>
    <w:rsid w:val="002C7227"/>
    <w:rsid w:val="002C76DD"/>
    <w:rsid w:val="002C7A99"/>
    <w:rsid w:val="002C7B14"/>
    <w:rsid w:val="002D4B08"/>
    <w:rsid w:val="002D719B"/>
    <w:rsid w:val="002D7763"/>
    <w:rsid w:val="002E0518"/>
    <w:rsid w:val="002E3A84"/>
    <w:rsid w:val="002E614C"/>
    <w:rsid w:val="002E6731"/>
    <w:rsid w:val="002E694D"/>
    <w:rsid w:val="002F0257"/>
    <w:rsid w:val="002F4757"/>
    <w:rsid w:val="002F4E54"/>
    <w:rsid w:val="002F573D"/>
    <w:rsid w:val="002F583E"/>
    <w:rsid w:val="002F706A"/>
    <w:rsid w:val="002F7B7C"/>
    <w:rsid w:val="00300A80"/>
    <w:rsid w:val="00303169"/>
    <w:rsid w:val="003039F9"/>
    <w:rsid w:val="00305923"/>
    <w:rsid w:val="00306B23"/>
    <w:rsid w:val="00311785"/>
    <w:rsid w:val="003139DD"/>
    <w:rsid w:val="003149E4"/>
    <w:rsid w:val="003157CE"/>
    <w:rsid w:val="00317A3E"/>
    <w:rsid w:val="00320E72"/>
    <w:rsid w:val="00321DA6"/>
    <w:rsid w:val="00322216"/>
    <w:rsid w:val="00322E4C"/>
    <w:rsid w:val="003239A0"/>
    <w:rsid w:val="00323E90"/>
    <w:rsid w:val="00323EC7"/>
    <w:rsid w:val="003242D6"/>
    <w:rsid w:val="003249E8"/>
    <w:rsid w:val="00324B9E"/>
    <w:rsid w:val="00324DA5"/>
    <w:rsid w:val="00326F5D"/>
    <w:rsid w:val="00330F21"/>
    <w:rsid w:val="00331342"/>
    <w:rsid w:val="00331449"/>
    <w:rsid w:val="003314B8"/>
    <w:rsid w:val="00332004"/>
    <w:rsid w:val="003321A7"/>
    <w:rsid w:val="00332C88"/>
    <w:rsid w:val="00333DA3"/>
    <w:rsid w:val="0033406B"/>
    <w:rsid w:val="0033463C"/>
    <w:rsid w:val="0033582F"/>
    <w:rsid w:val="00335855"/>
    <w:rsid w:val="00335991"/>
    <w:rsid w:val="00337A0A"/>
    <w:rsid w:val="00340929"/>
    <w:rsid w:val="00341144"/>
    <w:rsid w:val="003428F7"/>
    <w:rsid w:val="003430D7"/>
    <w:rsid w:val="00343C17"/>
    <w:rsid w:val="0034518F"/>
    <w:rsid w:val="003479E9"/>
    <w:rsid w:val="00350E10"/>
    <w:rsid w:val="00352AF2"/>
    <w:rsid w:val="00354035"/>
    <w:rsid w:val="003577B3"/>
    <w:rsid w:val="00357A7D"/>
    <w:rsid w:val="00357F61"/>
    <w:rsid w:val="00363164"/>
    <w:rsid w:val="0036407A"/>
    <w:rsid w:val="00364FEE"/>
    <w:rsid w:val="00365033"/>
    <w:rsid w:val="00366E6A"/>
    <w:rsid w:val="0036704F"/>
    <w:rsid w:val="0037096F"/>
    <w:rsid w:val="00371832"/>
    <w:rsid w:val="00372B43"/>
    <w:rsid w:val="0037378C"/>
    <w:rsid w:val="00373C22"/>
    <w:rsid w:val="00375A81"/>
    <w:rsid w:val="003761FE"/>
    <w:rsid w:val="00380CD5"/>
    <w:rsid w:val="00381DB2"/>
    <w:rsid w:val="00382227"/>
    <w:rsid w:val="00382251"/>
    <w:rsid w:val="0038233B"/>
    <w:rsid w:val="00383E27"/>
    <w:rsid w:val="00385257"/>
    <w:rsid w:val="003854D5"/>
    <w:rsid w:val="0038573F"/>
    <w:rsid w:val="00386011"/>
    <w:rsid w:val="00386A93"/>
    <w:rsid w:val="0038727F"/>
    <w:rsid w:val="003878F7"/>
    <w:rsid w:val="00390374"/>
    <w:rsid w:val="00390461"/>
    <w:rsid w:val="00390822"/>
    <w:rsid w:val="003923B9"/>
    <w:rsid w:val="003961DA"/>
    <w:rsid w:val="00397279"/>
    <w:rsid w:val="003A1BAF"/>
    <w:rsid w:val="003A2BF3"/>
    <w:rsid w:val="003A312C"/>
    <w:rsid w:val="003A34D3"/>
    <w:rsid w:val="003A46A3"/>
    <w:rsid w:val="003A47AA"/>
    <w:rsid w:val="003B1145"/>
    <w:rsid w:val="003B206F"/>
    <w:rsid w:val="003B29D6"/>
    <w:rsid w:val="003B2E3A"/>
    <w:rsid w:val="003B562B"/>
    <w:rsid w:val="003B5B76"/>
    <w:rsid w:val="003B704F"/>
    <w:rsid w:val="003C0AD6"/>
    <w:rsid w:val="003C0D71"/>
    <w:rsid w:val="003C20EB"/>
    <w:rsid w:val="003C3151"/>
    <w:rsid w:val="003C5283"/>
    <w:rsid w:val="003C52B6"/>
    <w:rsid w:val="003C59E0"/>
    <w:rsid w:val="003C5C1A"/>
    <w:rsid w:val="003D0B78"/>
    <w:rsid w:val="003D1EAC"/>
    <w:rsid w:val="003D2128"/>
    <w:rsid w:val="003D2C50"/>
    <w:rsid w:val="003D34F2"/>
    <w:rsid w:val="003D3AB5"/>
    <w:rsid w:val="003D4CEF"/>
    <w:rsid w:val="003D5918"/>
    <w:rsid w:val="003D5C57"/>
    <w:rsid w:val="003D608E"/>
    <w:rsid w:val="003D7D39"/>
    <w:rsid w:val="003E019A"/>
    <w:rsid w:val="003E1D9D"/>
    <w:rsid w:val="003E24EB"/>
    <w:rsid w:val="003E2C3F"/>
    <w:rsid w:val="003E6A00"/>
    <w:rsid w:val="003E6D43"/>
    <w:rsid w:val="003E7F65"/>
    <w:rsid w:val="003F24F5"/>
    <w:rsid w:val="003F2ABF"/>
    <w:rsid w:val="003F7392"/>
    <w:rsid w:val="003F7560"/>
    <w:rsid w:val="004016E9"/>
    <w:rsid w:val="00401A8D"/>
    <w:rsid w:val="004021F5"/>
    <w:rsid w:val="0040386C"/>
    <w:rsid w:val="00405FB4"/>
    <w:rsid w:val="00406E36"/>
    <w:rsid w:val="004125EA"/>
    <w:rsid w:val="00412BCF"/>
    <w:rsid w:val="004151C5"/>
    <w:rsid w:val="00421369"/>
    <w:rsid w:val="00421EDF"/>
    <w:rsid w:val="00422F46"/>
    <w:rsid w:val="00424653"/>
    <w:rsid w:val="0042689A"/>
    <w:rsid w:val="00426EF7"/>
    <w:rsid w:val="00431320"/>
    <w:rsid w:val="0043303D"/>
    <w:rsid w:val="0043343F"/>
    <w:rsid w:val="00433C26"/>
    <w:rsid w:val="00433D49"/>
    <w:rsid w:val="00433D7C"/>
    <w:rsid w:val="00434B6A"/>
    <w:rsid w:val="004356DC"/>
    <w:rsid w:val="004363B4"/>
    <w:rsid w:val="004406D7"/>
    <w:rsid w:val="00440946"/>
    <w:rsid w:val="00440D76"/>
    <w:rsid w:val="00443E12"/>
    <w:rsid w:val="00445263"/>
    <w:rsid w:val="00446166"/>
    <w:rsid w:val="0044699D"/>
    <w:rsid w:val="00446DEC"/>
    <w:rsid w:val="00447584"/>
    <w:rsid w:val="0044778B"/>
    <w:rsid w:val="004504DA"/>
    <w:rsid w:val="00453070"/>
    <w:rsid w:val="00453786"/>
    <w:rsid w:val="004555BF"/>
    <w:rsid w:val="00456552"/>
    <w:rsid w:val="00456BFD"/>
    <w:rsid w:val="00456C7A"/>
    <w:rsid w:val="0046071D"/>
    <w:rsid w:val="0046185A"/>
    <w:rsid w:val="0046208B"/>
    <w:rsid w:val="0046275D"/>
    <w:rsid w:val="004631D6"/>
    <w:rsid w:val="00466438"/>
    <w:rsid w:val="00467382"/>
    <w:rsid w:val="00467D1A"/>
    <w:rsid w:val="00470A85"/>
    <w:rsid w:val="00471588"/>
    <w:rsid w:val="00473E3F"/>
    <w:rsid w:val="004740A0"/>
    <w:rsid w:val="00475696"/>
    <w:rsid w:val="00480BE7"/>
    <w:rsid w:val="00480C91"/>
    <w:rsid w:val="00483700"/>
    <w:rsid w:val="00487C98"/>
    <w:rsid w:val="004906A4"/>
    <w:rsid w:val="0049197F"/>
    <w:rsid w:val="0049246C"/>
    <w:rsid w:val="00494AAC"/>
    <w:rsid w:val="004A03BC"/>
    <w:rsid w:val="004A11BD"/>
    <w:rsid w:val="004A1BC0"/>
    <w:rsid w:val="004A262B"/>
    <w:rsid w:val="004A2658"/>
    <w:rsid w:val="004A2D7E"/>
    <w:rsid w:val="004A4184"/>
    <w:rsid w:val="004A585F"/>
    <w:rsid w:val="004A719D"/>
    <w:rsid w:val="004B0372"/>
    <w:rsid w:val="004B5233"/>
    <w:rsid w:val="004B7F78"/>
    <w:rsid w:val="004C0D1E"/>
    <w:rsid w:val="004C1C4D"/>
    <w:rsid w:val="004C4A0F"/>
    <w:rsid w:val="004C504A"/>
    <w:rsid w:val="004D17F0"/>
    <w:rsid w:val="004D2074"/>
    <w:rsid w:val="004D283E"/>
    <w:rsid w:val="004D2AA0"/>
    <w:rsid w:val="004D2F9E"/>
    <w:rsid w:val="004D30B4"/>
    <w:rsid w:val="004D3260"/>
    <w:rsid w:val="004D4111"/>
    <w:rsid w:val="004D5E52"/>
    <w:rsid w:val="004D5E8E"/>
    <w:rsid w:val="004D60C1"/>
    <w:rsid w:val="004D79DA"/>
    <w:rsid w:val="004E058B"/>
    <w:rsid w:val="004E1C3C"/>
    <w:rsid w:val="004E400C"/>
    <w:rsid w:val="004E4AE1"/>
    <w:rsid w:val="004E513A"/>
    <w:rsid w:val="004E5211"/>
    <w:rsid w:val="004E52A4"/>
    <w:rsid w:val="004E5FB0"/>
    <w:rsid w:val="004F06AD"/>
    <w:rsid w:val="004F1BF3"/>
    <w:rsid w:val="004F4189"/>
    <w:rsid w:val="004F54FC"/>
    <w:rsid w:val="004F6A45"/>
    <w:rsid w:val="004F6E79"/>
    <w:rsid w:val="004F7C1B"/>
    <w:rsid w:val="005008C7"/>
    <w:rsid w:val="005010A0"/>
    <w:rsid w:val="0050112D"/>
    <w:rsid w:val="005031C1"/>
    <w:rsid w:val="005055AE"/>
    <w:rsid w:val="00505C47"/>
    <w:rsid w:val="00507EDF"/>
    <w:rsid w:val="00510414"/>
    <w:rsid w:val="00510A01"/>
    <w:rsid w:val="00513E0F"/>
    <w:rsid w:val="00513FED"/>
    <w:rsid w:val="00513FF5"/>
    <w:rsid w:val="00516116"/>
    <w:rsid w:val="0051624E"/>
    <w:rsid w:val="00516CCF"/>
    <w:rsid w:val="00520436"/>
    <w:rsid w:val="005209BF"/>
    <w:rsid w:val="00521707"/>
    <w:rsid w:val="005300BE"/>
    <w:rsid w:val="005300D0"/>
    <w:rsid w:val="0053262F"/>
    <w:rsid w:val="00534C81"/>
    <w:rsid w:val="005366AB"/>
    <w:rsid w:val="00536790"/>
    <w:rsid w:val="00536A4B"/>
    <w:rsid w:val="00537C6D"/>
    <w:rsid w:val="005416A6"/>
    <w:rsid w:val="00542ED1"/>
    <w:rsid w:val="00544671"/>
    <w:rsid w:val="005466C6"/>
    <w:rsid w:val="00546EF4"/>
    <w:rsid w:val="00547AF8"/>
    <w:rsid w:val="0055154E"/>
    <w:rsid w:val="005536CA"/>
    <w:rsid w:val="00553C16"/>
    <w:rsid w:val="005555DA"/>
    <w:rsid w:val="005564D0"/>
    <w:rsid w:val="00557B55"/>
    <w:rsid w:val="005602DB"/>
    <w:rsid w:val="0056236A"/>
    <w:rsid w:val="0056315E"/>
    <w:rsid w:val="00564311"/>
    <w:rsid w:val="0056431B"/>
    <w:rsid w:val="00567995"/>
    <w:rsid w:val="00570F60"/>
    <w:rsid w:val="00572350"/>
    <w:rsid w:val="00572C49"/>
    <w:rsid w:val="00574F22"/>
    <w:rsid w:val="00574FA0"/>
    <w:rsid w:val="0057581D"/>
    <w:rsid w:val="00575BAB"/>
    <w:rsid w:val="005768EE"/>
    <w:rsid w:val="005800C5"/>
    <w:rsid w:val="005816C8"/>
    <w:rsid w:val="0058267C"/>
    <w:rsid w:val="00583FCD"/>
    <w:rsid w:val="00584037"/>
    <w:rsid w:val="00585D89"/>
    <w:rsid w:val="00586F79"/>
    <w:rsid w:val="0059078E"/>
    <w:rsid w:val="00590AF7"/>
    <w:rsid w:val="00590B16"/>
    <w:rsid w:val="00591731"/>
    <w:rsid w:val="00591DE9"/>
    <w:rsid w:val="00593BE5"/>
    <w:rsid w:val="00594AD1"/>
    <w:rsid w:val="00595DC6"/>
    <w:rsid w:val="00596104"/>
    <w:rsid w:val="005A2469"/>
    <w:rsid w:val="005A3A2B"/>
    <w:rsid w:val="005A460E"/>
    <w:rsid w:val="005A4745"/>
    <w:rsid w:val="005A4BD7"/>
    <w:rsid w:val="005A5CC0"/>
    <w:rsid w:val="005A798F"/>
    <w:rsid w:val="005B298F"/>
    <w:rsid w:val="005B2BF2"/>
    <w:rsid w:val="005B2EB5"/>
    <w:rsid w:val="005B2FB0"/>
    <w:rsid w:val="005B517C"/>
    <w:rsid w:val="005B6F5A"/>
    <w:rsid w:val="005C2D87"/>
    <w:rsid w:val="005C3084"/>
    <w:rsid w:val="005C3259"/>
    <w:rsid w:val="005C4024"/>
    <w:rsid w:val="005C7701"/>
    <w:rsid w:val="005D1D46"/>
    <w:rsid w:val="005D1D54"/>
    <w:rsid w:val="005D2063"/>
    <w:rsid w:val="005D2DE3"/>
    <w:rsid w:val="005D46A6"/>
    <w:rsid w:val="005D5778"/>
    <w:rsid w:val="005D5E1F"/>
    <w:rsid w:val="005D5EB1"/>
    <w:rsid w:val="005D6BA7"/>
    <w:rsid w:val="005D7E94"/>
    <w:rsid w:val="005E0338"/>
    <w:rsid w:val="005E2E3C"/>
    <w:rsid w:val="005E4146"/>
    <w:rsid w:val="005E5553"/>
    <w:rsid w:val="005E5A3D"/>
    <w:rsid w:val="005E5A86"/>
    <w:rsid w:val="005E6076"/>
    <w:rsid w:val="005E6A41"/>
    <w:rsid w:val="005E7777"/>
    <w:rsid w:val="005F00FE"/>
    <w:rsid w:val="005F2C40"/>
    <w:rsid w:val="005F444C"/>
    <w:rsid w:val="005F6480"/>
    <w:rsid w:val="005F747A"/>
    <w:rsid w:val="0060105A"/>
    <w:rsid w:val="00604607"/>
    <w:rsid w:val="006053F8"/>
    <w:rsid w:val="00607BFC"/>
    <w:rsid w:val="00611587"/>
    <w:rsid w:val="0061196F"/>
    <w:rsid w:val="006161F5"/>
    <w:rsid w:val="00616374"/>
    <w:rsid w:val="006166B3"/>
    <w:rsid w:val="00622A1C"/>
    <w:rsid w:val="00622FAB"/>
    <w:rsid w:val="006240BD"/>
    <w:rsid w:val="00624131"/>
    <w:rsid w:val="0062558C"/>
    <w:rsid w:val="00625775"/>
    <w:rsid w:val="00626B48"/>
    <w:rsid w:val="00631262"/>
    <w:rsid w:val="00632758"/>
    <w:rsid w:val="00632C62"/>
    <w:rsid w:val="00633680"/>
    <w:rsid w:val="00633B6F"/>
    <w:rsid w:val="00634136"/>
    <w:rsid w:val="006343AB"/>
    <w:rsid w:val="006368E0"/>
    <w:rsid w:val="00640157"/>
    <w:rsid w:val="0064171C"/>
    <w:rsid w:val="00650216"/>
    <w:rsid w:val="006517D7"/>
    <w:rsid w:val="0065285A"/>
    <w:rsid w:val="00652E08"/>
    <w:rsid w:val="00653D4E"/>
    <w:rsid w:val="00654FA3"/>
    <w:rsid w:val="006550AE"/>
    <w:rsid w:val="006562C3"/>
    <w:rsid w:val="006566D5"/>
    <w:rsid w:val="00657019"/>
    <w:rsid w:val="00660033"/>
    <w:rsid w:val="00660BFF"/>
    <w:rsid w:val="00664195"/>
    <w:rsid w:val="00664221"/>
    <w:rsid w:val="006661CB"/>
    <w:rsid w:val="006667B6"/>
    <w:rsid w:val="00666FC1"/>
    <w:rsid w:val="00667EAB"/>
    <w:rsid w:val="00670959"/>
    <w:rsid w:val="00671250"/>
    <w:rsid w:val="00675562"/>
    <w:rsid w:val="006755CA"/>
    <w:rsid w:val="00675F65"/>
    <w:rsid w:val="00676279"/>
    <w:rsid w:val="0068000B"/>
    <w:rsid w:val="0068157C"/>
    <w:rsid w:val="006821B7"/>
    <w:rsid w:val="006822B9"/>
    <w:rsid w:val="006831D0"/>
    <w:rsid w:val="0068352E"/>
    <w:rsid w:val="006847D7"/>
    <w:rsid w:val="0068578C"/>
    <w:rsid w:val="00686AC0"/>
    <w:rsid w:val="00687835"/>
    <w:rsid w:val="00687B84"/>
    <w:rsid w:val="00690964"/>
    <w:rsid w:val="006927DD"/>
    <w:rsid w:val="00693B3A"/>
    <w:rsid w:val="00694EDD"/>
    <w:rsid w:val="0069518B"/>
    <w:rsid w:val="00695EA9"/>
    <w:rsid w:val="006961E1"/>
    <w:rsid w:val="006971CD"/>
    <w:rsid w:val="006A1280"/>
    <w:rsid w:val="006A1B71"/>
    <w:rsid w:val="006A2736"/>
    <w:rsid w:val="006A36D7"/>
    <w:rsid w:val="006A437B"/>
    <w:rsid w:val="006A5427"/>
    <w:rsid w:val="006A704B"/>
    <w:rsid w:val="006A7A72"/>
    <w:rsid w:val="006B0561"/>
    <w:rsid w:val="006B0D0E"/>
    <w:rsid w:val="006B1DB5"/>
    <w:rsid w:val="006B300D"/>
    <w:rsid w:val="006B4215"/>
    <w:rsid w:val="006B4675"/>
    <w:rsid w:val="006B5112"/>
    <w:rsid w:val="006B592A"/>
    <w:rsid w:val="006B626C"/>
    <w:rsid w:val="006B74B9"/>
    <w:rsid w:val="006C07B3"/>
    <w:rsid w:val="006C133B"/>
    <w:rsid w:val="006C1E5A"/>
    <w:rsid w:val="006C23C7"/>
    <w:rsid w:val="006C2E3D"/>
    <w:rsid w:val="006C7321"/>
    <w:rsid w:val="006C7812"/>
    <w:rsid w:val="006C7E08"/>
    <w:rsid w:val="006C7E9C"/>
    <w:rsid w:val="006D22E9"/>
    <w:rsid w:val="006D232A"/>
    <w:rsid w:val="006D45C5"/>
    <w:rsid w:val="006D4965"/>
    <w:rsid w:val="006D59DF"/>
    <w:rsid w:val="006D63A1"/>
    <w:rsid w:val="006D67E7"/>
    <w:rsid w:val="006D78FA"/>
    <w:rsid w:val="006E0703"/>
    <w:rsid w:val="006E0E8A"/>
    <w:rsid w:val="006E1160"/>
    <w:rsid w:val="006E25B0"/>
    <w:rsid w:val="006E31E1"/>
    <w:rsid w:val="006E34BA"/>
    <w:rsid w:val="006E4813"/>
    <w:rsid w:val="006E5151"/>
    <w:rsid w:val="006E553C"/>
    <w:rsid w:val="006E6E74"/>
    <w:rsid w:val="006E7E71"/>
    <w:rsid w:val="006F04BA"/>
    <w:rsid w:val="006F2E76"/>
    <w:rsid w:val="006F7ADD"/>
    <w:rsid w:val="00701F36"/>
    <w:rsid w:val="0070302F"/>
    <w:rsid w:val="00705235"/>
    <w:rsid w:val="00705298"/>
    <w:rsid w:val="00706A45"/>
    <w:rsid w:val="00710F2B"/>
    <w:rsid w:val="00714778"/>
    <w:rsid w:val="0071525E"/>
    <w:rsid w:val="00715991"/>
    <w:rsid w:val="00716154"/>
    <w:rsid w:val="00716C6F"/>
    <w:rsid w:val="00717755"/>
    <w:rsid w:val="0072149C"/>
    <w:rsid w:val="0072163D"/>
    <w:rsid w:val="00721825"/>
    <w:rsid w:val="00722FC6"/>
    <w:rsid w:val="00725DEF"/>
    <w:rsid w:val="00726509"/>
    <w:rsid w:val="00726B4F"/>
    <w:rsid w:val="00727011"/>
    <w:rsid w:val="00730525"/>
    <w:rsid w:val="0073187E"/>
    <w:rsid w:val="007333DC"/>
    <w:rsid w:val="007344D9"/>
    <w:rsid w:val="00735987"/>
    <w:rsid w:val="00742A17"/>
    <w:rsid w:val="00742BC1"/>
    <w:rsid w:val="00742EBE"/>
    <w:rsid w:val="0074349D"/>
    <w:rsid w:val="00743739"/>
    <w:rsid w:val="007439B2"/>
    <w:rsid w:val="00743D43"/>
    <w:rsid w:val="00743EFE"/>
    <w:rsid w:val="0074565A"/>
    <w:rsid w:val="007500C7"/>
    <w:rsid w:val="0075084B"/>
    <w:rsid w:val="007544EA"/>
    <w:rsid w:val="007572A6"/>
    <w:rsid w:val="007601A0"/>
    <w:rsid w:val="00760935"/>
    <w:rsid w:val="0076223E"/>
    <w:rsid w:val="0076239F"/>
    <w:rsid w:val="00763212"/>
    <w:rsid w:val="00765953"/>
    <w:rsid w:val="00766336"/>
    <w:rsid w:val="00767139"/>
    <w:rsid w:val="0076741D"/>
    <w:rsid w:val="00770E57"/>
    <w:rsid w:val="00771B41"/>
    <w:rsid w:val="007723AA"/>
    <w:rsid w:val="00772FFD"/>
    <w:rsid w:val="0078404E"/>
    <w:rsid w:val="00785FB4"/>
    <w:rsid w:val="00786FF0"/>
    <w:rsid w:val="00787E29"/>
    <w:rsid w:val="00791280"/>
    <w:rsid w:val="00797020"/>
    <w:rsid w:val="00797D0C"/>
    <w:rsid w:val="007A17B7"/>
    <w:rsid w:val="007A17BC"/>
    <w:rsid w:val="007A2EDA"/>
    <w:rsid w:val="007A31E3"/>
    <w:rsid w:val="007A4564"/>
    <w:rsid w:val="007A548F"/>
    <w:rsid w:val="007A60E4"/>
    <w:rsid w:val="007A6F42"/>
    <w:rsid w:val="007A75D5"/>
    <w:rsid w:val="007A7951"/>
    <w:rsid w:val="007A79DA"/>
    <w:rsid w:val="007B0789"/>
    <w:rsid w:val="007B0F89"/>
    <w:rsid w:val="007B1600"/>
    <w:rsid w:val="007B1CC5"/>
    <w:rsid w:val="007B2839"/>
    <w:rsid w:val="007B28CB"/>
    <w:rsid w:val="007B484F"/>
    <w:rsid w:val="007B61B4"/>
    <w:rsid w:val="007B6595"/>
    <w:rsid w:val="007B6D8C"/>
    <w:rsid w:val="007B7333"/>
    <w:rsid w:val="007B7436"/>
    <w:rsid w:val="007C1CAB"/>
    <w:rsid w:val="007C26B7"/>
    <w:rsid w:val="007C34DD"/>
    <w:rsid w:val="007C5053"/>
    <w:rsid w:val="007C523F"/>
    <w:rsid w:val="007C5F3A"/>
    <w:rsid w:val="007C733F"/>
    <w:rsid w:val="007C7A4A"/>
    <w:rsid w:val="007D0305"/>
    <w:rsid w:val="007D0A1C"/>
    <w:rsid w:val="007D1640"/>
    <w:rsid w:val="007D2419"/>
    <w:rsid w:val="007D29AA"/>
    <w:rsid w:val="007D37CF"/>
    <w:rsid w:val="007D638D"/>
    <w:rsid w:val="007D6C07"/>
    <w:rsid w:val="007D79B5"/>
    <w:rsid w:val="007E2BCA"/>
    <w:rsid w:val="007E35EE"/>
    <w:rsid w:val="007E380B"/>
    <w:rsid w:val="007E3AB9"/>
    <w:rsid w:val="007E3FB8"/>
    <w:rsid w:val="007E4B55"/>
    <w:rsid w:val="007E71AF"/>
    <w:rsid w:val="007F1A34"/>
    <w:rsid w:val="007F1FC7"/>
    <w:rsid w:val="007F3C8B"/>
    <w:rsid w:val="007F723B"/>
    <w:rsid w:val="007F7465"/>
    <w:rsid w:val="007F7A04"/>
    <w:rsid w:val="007F7CE1"/>
    <w:rsid w:val="0080052E"/>
    <w:rsid w:val="00801076"/>
    <w:rsid w:val="00801234"/>
    <w:rsid w:val="008013AD"/>
    <w:rsid w:val="00801C5B"/>
    <w:rsid w:val="00802C92"/>
    <w:rsid w:val="00803EE7"/>
    <w:rsid w:val="008068A5"/>
    <w:rsid w:val="0080781C"/>
    <w:rsid w:val="0081002F"/>
    <w:rsid w:val="00811433"/>
    <w:rsid w:val="00812ECA"/>
    <w:rsid w:val="00813040"/>
    <w:rsid w:val="008135E3"/>
    <w:rsid w:val="00813D4B"/>
    <w:rsid w:val="00814451"/>
    <w:rsid w:val="008225A8"/>
    <w:rsid w:val="00824549"/>
    <w:rsid w:val="00827B9A"/>
    <w:rsid w:val="0083077F"/>
    <w:rsid w:val="00831920"/>
    <w:rsid w:val="008338DC"/>
    <w:rsid w:val="00834297"/>
    <w:rsid w:val="00834616"/>
    <w:rsid w:val="008359D7"/>
    <w:rsid w:val="008365E5"/>
    <w:rsid w:val="00836E4F"/>
    <w:rsid w:val="00837087"/>
    <w:rsid w:val="008371D4"/>
    <w:rsid w:val="008403B3"/>
    <w:rsid w:val="00841056"/>
    <w:rsid w:val="00842184"/>
    <w:rsid w:val="008429AE"/>
    <w:rsid w:val="00842E71"/>
    <w:rsid w:val="00844E68"/>
    <w:rsid w:val="00844EE1"/>
    <w:rsid w:val="008458D7"/>
    <w:rsid w:val="00845AF4"/>
    <w:rsid w:val="008503CA"/>
    <w:rsid w:val="00851865"/>
    <w:rsid w:val="00852C9D"/>
    <w:rsid w:val="00854AAB"/>
    <w:rsid w:val="00855A3E"/>
    <w:rsid w:val="008573FA"/>
    <w:rsid w:val="00857D4B"/>
    <w:rsid w:val="008635FF"/>
    <w:rsid w:val="008646DD"/>
    <w:rsid w:val="00864DC0"/>
    <w:rsid w:val="00864FBD"/>
    <w:rsid w:val="008652CF"/>
    <w:rsid w:val="00866D18"/>
    <w:rsid w:val="00866D35"/>
    <w:rsid w:val="00867D30"/>
    <w:rsid w:val="008711D4"/>
    <w:rsid w:val="00872122"/>
    <w:rsid w:val="00872666"/>
    <w:rsid w:val="00875158"/>
    <w:rsid w:val="0087576D"/>
    <w:rsid w:val="008759EE"/>
    <w:rsid w:val="00875AF6"/>
    <w:rsid w:val="008768BB"/>
    <w:rsid w:val="00876A17"/>
    <w:rsid w:val="00882F5D"/>
    <w:rsid w:val="00883161"/>
    <w:rsid w:val="00884A3A"/>
    <w:rsid w:val="00884AAF"/>
    <w:rsid w:val="00885F04"/>
    <w:rsid w:val="00886770"/>
    <w:rsid w:val="0088694B"/>
    <w:rsid w:val="00886F31"/>
    <w:rsid w:val="00890432"/>
    <w:rsid w:val="0089078A"/>
    <w:rsid w:val="00891DC4"/>
    <w:rsid w:val="00895B09"/>
    <w:rsid w:val="008A2A87"/>
    <w:rsid w:val="008A36FF"/>
    <w:rsid w:val="008A4DF6"/>
    <w:rsid w:val="008A5E9B"/>
    <w:rsid w:val="008A5ED5"/>
    <w:rsid w:val="008A6524"/>
    <w:rsid w:val="008B156C"/>
    <w:rsid w:val="008B2543"/>
    <w:rsid w:val="008B3424"/>
    <w:rsid w:val="008B4A48"/>
    <w:rsid w:val="008B7595"/>
    <w:rsid w:val="008B782D"/>
    <w:rsid w:val="008C2B9B"/>
    <w:rsid w:val="008C4AB0"/>
    <w:rsid w:val="008D00E8"/>
    <w:rsid w:val="008D0BC1"/>
    <w:rsid w:val="008D1025"/>
    <w:rsid w:val="008D375D"/>
    <w:rsid w:val="008D5516"/>
    <w:rsid w:val="008D7019"/>
    <w:rsid w:val="008E1E73"/>
    <w:rsid w:val="008E2154"/>
    <w:rsid w:val="008E3C08"/>
    <w:rsid w:val="008E3F91"/>
    <w:rsid w:val="008E51E4"/>
    <w:rsid w:val="008E7026"/>
    <w:rsid w:val="008F0434"/>
    <w:rsid w:val="008F16CB"/>
    <w:rsid w:val="008F1DEE"/>
    <w:rsid w:val="008F524E"/>
    <w:rsid w:val="008F6560"/>
    <w:rsid w:val="008F6ACA"/>
    <w:rsid w:val="008F76CE"/>
    <w:rsid w:val="009012AF"/>
    <w:rsid w:val="00903B97"/>
    <w:rsid w:val="00904C88"/>
    <w:rsid w:val="00905252"/>
    <w:rsid w:val="00905BA5"/>
    <w:rsid w:val="0090726E"/>
    <w:rsid w:val="00907E91"/>
    <w:rsid w:val="00910347"/>
    <w:rsid w:val="00911590"/>
    <w:rsid w:val="009132A6"/>
    <w:rsid w:val="0091759A"/>
    <w:rsid w:val="00917F59"/>
    <w:rsid w:val="009213E1"/>
    <w:rsid w:val="0092164E"/>
    <w:rsid w:val="0092201F"/>
    <w:rsid w:val="00922D8A"/>
    <w:rsid w:val="00922FA5"/>
    <w:rsid w:val="009232A4"/>
    <w:rsid w:val="00924677"/>
    <w:rsid w:val="0092522B"/>
    <w:rsid w:val="00932BDF"/>
    <w:rsid w:val="0093353B"/>
    <w:rsid w:val="00936BD6"/>
    <w:rsid w:val="00937A28"/>
    <w:rsid w:val="009413CA"/>
    <w:rsid w:val="00942389"/>
    <w:rsid w:val="00944237"/>
    <w:rsid w:val="00944DBF"/>
    <w:rsid w:val="00944FF1"/>
    <w:rsid w:val="0094664B"/>
    <w:rsid w:val="00946729"/>
    <w:rsid w:val="00950590"/>
    <w:rsid w:val="009511D5"/>
    <w:rsid w:val="009520B9"/>
    <w:rsid w:val="0095668C"/>
    <w:rsid w:val="0096147E"/>
    <w:rsid w:val="00961591"/>
    <w:rsid w:val="0096301E"/>
    <w:rsid w:val="009656C0"/>
    <w:rsid w:val="009664BF"/>
    <w:rsid w:val="00982182"/>
    <w:rsid w:val="00982215"/>
    <w:rsid w:val="00983F5F"/>
    <w:rsid w:val="00991D6C"/>
    <w:rsid w:val="0099265D"/>
    <w:rsid w:val="00995E12"/>
    <w:rsid w:val="00997D5D"/>
    <w:rsid w:val="009A216B"/>
    <w:rsid w:val="009A298C"/>
    <w:rsid w:val="009A3020"/>
    <w:rsid w:val="009A3B37"/>
    <w:rsid w:val="009A4E75"/>
    <w:rsid w:val="009A509C"/>
    <w:rsid w:val="009A56E4"/>
    <w:rsid w:val="009A5B46"/>
    <w:rsid w:val="009A7FD5"/>
    <w:rsid w:val="009B05E0"/>
    <w:rsid w:val="009B0D97"/>
    <w:rsid w:val="009B2E5F"/>
    <w:rsid w:val="009B3057"/>
    <w:rsid w:val="009B5C11"/>
    <w:rsid w:val="009C1AFE"/>
    <w:rsid w:val="009C4B7B"/>
    <w:rsid w:val="009C4FBC"/>
    <w:rsid w:val="009C5298"/>
    <w:rsid w:val="009C6DE1"/>
    <w:rsid w:val="009C7A05"/>
    <w:rsid w:val="009D0F58"/>
    <w:rsid w:val="009D1725"/>
    <w:rsid w:val="009D1D9E"/>
    <w:rsid w:val="009D2AAF"/>
    <w:rsid w:val="009D2F9B"/>
    <w:rsid w:val="009D3764"/>
    <w:rsid w:val="009D420C"/>
    <w:rsid w:val="009D480A"/>
    <w:rsid w:val="009D5D42"/>
    <w:rsid w:val="009D655F"/>
    <w:rsid w:val="009D6697"/>
    <w:rsid w:val="009E287D"/>
    <w:rsid w:val="009E5326"/>
    <w:rsid w:val="009E5D6B"/>
    <w:rsid w:val="009E6918"/>
    <w:rsid w:val="009F1014"/>
    <w:rsid w:val="009F1015"/>
    <w:rsid w:val="009F20DA"/>
    <w:rsid w:val="009F3183"/>
    <w:rsid w:val="009F3D4D"/>
    <w:rsid w:val="009F4733"/>
    <w:rsid w:val="009F7D44"/>
    <w:rsid w:val="00A0102F"/>
    <w:rsid w:val="00A0257A"/>
    <w:rsid w:val="00A0383A"/>
    <w:rsid w:val="00A0659C"/>
    <w:rsid w:val="00A10C17"/>
    <w:rsid w:val="00A14B00"/>
    <w:rsid w:val="00A16B7B"/>
    <w:rsid w:val="00A21603"/>
    <w:rsid w:val="00A2265D"/>
    <w:rsid w:val="00A23953"/>
    <w:rsid w:val="00A25D99"/>
    <w:rsid w:val="00A278DA"/>
    <w:rsid w:val="00A27A3F"/>
    <w:rsid w:val="00A27F25"/>
    <w:rsid w:val="00A30754"/>
    <w:rsid w:val="00A31D4F"/>
    <w:rsid w:val="00A331AD"/>
    <w:rsid w:val="00A33CE5"/>
    <w:rsid w:val="00A361AF"/>
    <w:rsid w:val="00A37C1D"/>
    <w:rsid w:val="00A40635"/>
    <w:rsid w:val="00A40C14"/>
    <w:rsid w:val="00A42C45"/>
    <w:rsid w:val="00A4347E"/>
    <w:rsid w:val="00A459AE"/>
    <w:rsid w:val="00A47545"/>
    <w:rsid w:val="00A47813"/>
    <w:rsid w:val="00A4793D"/>
    <w:rsid w:val="00A47F0E"/>
    <w:rsid w:val="00A5172E"/>
    <w:rsid w:val="00A51BC0"/>
    <w:rsid w:val="00A526FF"/>
    <w:rsid w:val="00A53F7F"/>
    <w:rsid w:val="00A555FB"/>
    <w:rsid w:val="00A559A3"/>
    <w:rsid w:val="00A5658D"/>
    <w:rsid w:val="00A569A2"/>
    <w:rsid w:val="00A571AE"/>
    <w:rsid w:val="00A57E7F"/>
    <w:rsid w:val="00A60110"/>
    <w:rsid w:val="00A6191E"/>
    <w:rsid w:val="00A6224B"/>
    <w:rsid w:val="00A62D24"/>
    <w:rsid w:val="00A63DBE"/>
    <w:rsid w:val="00A65F87"/>
    <w:rsid w:val="00A670D3"/>
    <w:rsid w:val="00A679AE"/>
    <w:rsid w:val="00A710D9"/>
    <w:rsid w:val="00A7143D"/>
    <w:rsid w:val="00A715A5"/>
    <w:rsid w:val="00A71A86"/>
    <w:rsid w:val="00A71D4A"/>
    <w:rsid w:val="00A72685"/>
    <w:rsid w:val="00A726E7"/>
    <w:rsid w:val="00A734EF"/>
    <w:rsid w:val="00A74FD4"/>
    <w:rsid w:val="00A76799"/>
    <w:rsid w:val="00A76D57"/>
    <w:rsid w:val="00A77C45"/>
    <w:rsid w:val="00A8086A"/>
    <w:rsid w:val="00A812F7"/>
    <w:rsid w:val="00A82425"/>
    <w:rsid w:val="00A82447"/>
    <w:rsid w:val="00A83695"/>
    <w:rsid w:val="00A83900"/>
    <w:rsid w:val="00A83BEC"/>
    <w:rsid w:val="00A8411A"/>
    <w:rsid w:val="00A84D72"/>
    <w:rsid w:val="00A86496"/>
    <w:rsid w:val="00A86B76"/>
    <w:rsid w:val="00A905B7"/>
    <w:rsid w:val="00A9095A"/>
    <w:rsid w:val="00A92431"/>
    <w:rsid w:val="00A956D6"/>
    <w:rsid w:val="00A9667E"/>
    <w:rsid w:val="00A9793F"/>
    <w:rsid w:val="00AA0659"/>
    <w:rsid w:val="00AA0905"/>
    <w:rsid w:val="00AA0F44"/>
    <w:rsid w:val="00AA16FD"/>
    <w:rsid w:val="00AA2A9E"/>
    <w:rsid w:val="00AA6F97"/>
    <w:rsid w:val="00AB07F5"/>
    <w:rsid w:val="00AB09C1"/>
    <w:rsid w:val="00AB15D5"/>
    <w:rsid w:val="00AB24B1"/>
    <w:rsid w:val="00AB30D7"/>
    <w:rsid w:val="00AB3B07"/>
    <w:rsid w:val="00AB3FEB"/>
    <w:rsid w:val="00AB48DD"/>
    <w:rsid w:val="00AB566C"/>
    <w:rsid w:val="00AB657E"/>
    <w:rsid w:val="00AB73A1"/>
    <w:rsid w:val="00AC1534"/>
    <w:rsid w:val="00AC585F"/>
    <w:rsid w:val="00AC7B36"/>
    <w:rsid w:val="00AD0F34"/>
    <w:rsid w:val="00AD2506"/>
    <w:rsid w:val="00AD461E"/>
    <w:rsid w:val="00AD5EAE"/>
    <w:rsid w:val="00AD6D32"/>
    <w:rsid w:val="00AE3B59"/>
    <w:rsid w:val="00AE3CF0"/>
    <w:rsid w:val="00AE442E"/>
    <w:rsid w:val="00AE721E"/>
    <w:rsid w:val="00AE7DE8"/>
    <w:rsid w:val="00AF0983"/>
    <w:rsid w:val="00AF1F99"/>
    <w:rsid w:val="00AF34A9"/>
    <w:rsid w:val="00AF37AF"/>
    <w:rsid w:val="00AF7857"/>
    <w:rsid w:val="00B01497"/>
    <w:rsid w:val="00B018B1"/>
    <w:rsid w:val="00B01CFD"/>
    <w:rsid w:val="00B0218B"/>
    <w:rsid w:val="00B02718"/>
    <w:rsid w:val="00B03890"/>
    <w:rsid w:val="00B039CF"/>
    <w:rsid w:val="00B04C27"/>
    <w:rsid w:val="00B0720C"/>
    <w:rsid w:val="00B079EB"/>
    <w:rsid w:val="00B109A8"/>
    <w:rsid w:val="00B10CD2"/>
    <w:rsid w:val="00B15CAB"/>
    <w:rsid w:val="00B17371"/>
    <w:rsid w:val="00B2084A"/>
    <w:rsid w:val="00B20D39"/>
    <w:rsid w:val="00B23DAA"/>
    <w:rsid w:val="00B2512B"/>
    <w:rsid w:val="00B25F9D"/>
    <w:rsid w:val="00B260BF"/>
    <w:rsid w:val="00B264BA"/>
    <w:rsid w:val="00B2700A"/>
    <w:rsid w:val="00B279B0"/>
    <w:rsid w:val="00B27C87"/>
    <w:rsid w:val="00B3104D"/>
    <w:rsid w:val="00B32DF4"/>
    <w:rsid w:val="00B34948"/>
    <w:rsid w:val="00B36097"/>
    <w:rsid w:val="00B36ACC"/>
    <w:rsid w:val="00B36FDF"/>
    <w:rsid w:val="00B4016F"/>
    <w:rsid w:val="00B4206B"/>
    <w:rsid w:val="00B428D1"/>
    <w:rsid w:val="00B42990"/>
    <w:rsid w:val="00B43844"/>
    <w:rsid w:val="00B43DF5"/>
    <w:rsid w:val="00B45851"/>
    <w:rsid w:val="00B501E5"/>
    <w:rsid w:val="00B5062C"/>
    <w:rsid w:val="00B50773"/>
    <w:rsid w:val="00B52904"/>
    <w:rsid w:val="00B53709"/>
    <w:rsid w:val="00B54017"/>
    <w:rsid w:val="00B55027"/>
    <w:rsid w:val="00B55D65"/>
    <w:rsid w:val="00B57469"/>
    <w:rsid w:val="00B61F2A"/>
    <w:rsid w:val="00B62990"/>
    <w:rsid w:val="00B63F83"/>
    <w:rsid w:val="00B64C5E"/>
    <w:rsid w:val="00B65015"/>
    <w:rsid w:val="00B6529A"/>
    <w:rsid w:val="00B707CF"/>
    <w:rsid w:val="00B70F85"/>
    <w:rsid w:val="00B71020"/>
    <w:rsid w:val="00B72E52"/>
    <w:rsid w:val="00B72F03"/>
    <w:rsid w:val="00B7598A"/>
    <w:rsid w:val="00B77DE7"/>
    <w:rsid w:val="00B826CD"/>
    <w:rsid w:val="00B83B68"/>
    <w:rsid w:val="00B83E33"/>
    <w:rsid w:val="00B90D86"/>
    <w:rsid w:val="00B9260A"/>
    <w:rsid w:val="00B93220"/>
    <w:rsid w:val="00B944D9"/>
    <w:rsid w:val="00B9455B"/>
    <w:rsid w:val="00B9616A"/>
    <w:rsid w:val="00B9688A"/>
    <w:rsid w:val="00B96C0D"/>
    <w:rsid w:val="00BA04EF"/>
    <w:rsid w:val="00BA0DBF"/>
    <w:rsid w:val="00BA1513"/>
    <w:rsid w:val="00BA28C1"/>
    <w:rsid w:val="00BA2A70"/>
    <w:rsid w:val="00BA2D49"/>
    <w:rsid w:val="00BA2F10"/>
    <w:rsid w:val="00BA40B0"/>
    <w:rsid w:val="00BA49AC"/>
    <w:rsid w:val="00BA5499"/>
    <w:rsid w:val="00BA5945"/>
    <w:rsid w:val="00BA6236"/>
    <w:rsid w:val="00BA6348"/>
    <w:rsid w:val="00BA68F3"/>
    <w:rsid w:val="00BA7F56"/>
    <w:rsid w:val="00BB032B"/>
    <w:rsid w:val="00BB4851"/>
    <w:rsid w:val="00BB4C7F"/>
    <w:rsid w:val="00BB6773"/>
    <w:rsid w:val="00BB6857"/>
    <w:rsid w:val="00BC18D3"/>
    <w:rsid w:val="00BC2BF8"/>
    <w:rsid w:val="00BC33E7"/>
    <w:rsid w:val="00BC35CB"/>
    <w:rsid w:val="00BC519E"/>
    <w:rsid w:val="00BC5310"/>
    <w:rsid w:val="00BC7081"/>
    <w:rsid w:val="00BD0904"/>
    <w:rsid w:val="00BD16CC"/>
    <w:rsid w:val="00BD1D4F"/>
    <w:rsid w:val="00BD47F6"/>
    <w:rsid w:val="00BD4CF3"/>
    <w:rsid w:val="00BD4F3E"/>
    <w:rsid w:val="00BD50A8"/>
    <w:rsid w:val="00BD5531"/>
    <w:rsid w:val="00BD6191"/>
    <w:rsid w:val="00BD7459"/>
    <w:rsid w:val="00BE0ABD"/>
    <w:rsid w:val="00BE2D8D"/>
    <w:rsid w:val="00BE31F3"/>
    <w:rsid w:val="00BE3941"/>
    <w:rsid w:val="00BE45AB"/>
    <w:rsid w:val="00BE51CC"/>
    <w:rsid w:val="00BE57D6"/>
    <w:rsid w:val="00BE7AFF"/>
    <w:rsid w:val="00BF0ECD"/>
    <w:rsid w:val="00BF1199"/>
    <w:rsid w:val="00BF1B39"/>
    <w:rsid w:val="00BF3432"/>
    <w:rsid w:val="00BF4A50"/>
    <w:rsid w:val="00BF5DEA"/>
    <w:rsid w:val="00BF772B"/>
    <w:rsid w:val="00BF786C"/>
    <w:rsid w:val="00C0140E"/>
    <w:rsid w:val="00C01C90"/>
    <w:rsid w:val="00C029C8"/>
    <w:rsid w:val="00C03482"/>
    <w:rsid w:val="00C03852"/>
    <w:rsid w:val="00C0746C"/>
    <w:rsid w:val="00C117E8"/>
    <w:rsid w:val="00C13E18"/>
    <w:rsid w:val="00C1408E"/>
    <w:rsid w:val="00C15A35"/>
    <w:rsid w:val="00C16263"/>
    <w:rsid w:val="00C16911"/>
    <w:rsid w:val="00C17552"/>
    <w:rsid w:val="00C1762C"/>
    <w:rsid w:val="00C17AE0"/>
    <w:rsid w:val="00C17F38"/>
    <w:rsid w:val="00C20A78"/>
    <w:rsid w:val="00C210EC"/>
    <w:rsid w:val="00C23515"/>
    <w:rsid w:val="00C27323"/>
    <w:rsid w:val="00C27C74"/>
    <w:rsid w:val="00C27F4F"/>
    <w:rsid w:val="00C33F74"/>
    <w:rsid w:val="00C33FAE"/>
    <w:rsid w:val="00C341E0"/>
    <w:rsid w:val="00C365C4"/>
    <w:rsid w:val="00C366B2"/>
    <w:rsid w:val="00C36B7F"/>
    <w:rsid w:val="00C37E36"/>
    <w:rsid w:val="00C411AD"/>
    <w:rsid w:val="00C41E7D"/>
    <w:rsid w:val="00C46760"/>
    <w:rsid w:val="00C46E1A"/>
    <w:rsid w:val="00C50B44"/>
    <w:rsid w:val="00C51F15"/>
    <w:rsid w:val="00C54BF3"/>
    <w:rsid w:val="00C61475"/>
    <w:rsid w:val="00C6323B"/>
    <w:rsid w:val="00C6343F"/>
    <w:rsid w:val="00C63AAD"/>
    <w:rsid w:val="00C63ADB"/>
    <w:rsid w:val="00C65952"/>
    <w:rsid w:val="00C66EA9"/>
    <w:rsid w:val="00C671D5"/>
    <w:rsid w:val="00C7159F"/>
    <w:rsid w:val="00C72B25"/>
    <w:rsid w:val="00C73770"/>
    <w:rsid w:val="00C74635"/>
    <w:rsid w:val="00C74FE5"/>
    <w:rsid w:val="00C75B01"/>
    <w:rsid w:val="00C807D5"/>
    <w:rsid w:val="00C80B46"/>
    <w:rsid w:val="00C81D60"/>
    <w:rsid w:val="00C83D3A"/>
    <w:rsid w:val="00C86003"/>
    <w:rsid w:val="00C864B6"/>
    <w:rsid w:val="00C93403"/>
    <w:rsid w:val="00C9340F"/>
    <w:rsid w:val="00C93BD0"/>
    <w:rsid w:val="00C9697B"/>
    <w:rsid w:val="00C96C59"/>
    <w:rsid w:val="00C97AB5"/>
    <w:rsid w:val="00CA4AE2"/>
    <w:rsid w:val="00CA70AA"/>
    <w:rsid w:val="00CB12B9"/>
    <w:rsid w:val="00CB34E2"/>
    <w:rsid w:val="00CB3AB9"/>
    <w:rsid w:val="00CB4EC2"/>
    <w:rsid w:val="00CB4FE5"/>
    <w:rsid w:val="00CB5FB1"/>
    <w:rsid w:val="00CC015E"/>
    <w:rsid w:val="00CC01D7"/>
    <w:rsid w:val="00CC3215"/>
    <w:rsid w:val="00CC3A35"/>
    <w:rsid w:val="00CC4DA1"/>
    <w:rsid w:val="00CD024E"/>
    <w:rsid w:val="00CD1E4A"/>
    <w:rsid w:val="00CD29B3"/>
    <w:rsid w:val="00CD32CC"/>
    <w:rsid w:val="00CD3F98"/>
    <w:rsid w:val="00CD41EF"/>
    <w:rsid w:val="00CD4DE3"/>
    <w:rsid w:val="00CD795C"/>
    <w:rsid w:val="00CE0690"/>
    <w:rsid w:val="00CE1CC6"/>
    <w:rsid w:val="00CE29CF"/>
    <w:rsid w:val="00CE48C4"/>
    <w:rsid w:val="00CE6113"/>
    <w:rsid w:val="00CE6565"/>
    <w:rsid w:val="00CF1A2F"/>
    <w:rsid w:val="00CF2275"/>
    <w:rsid w:val="00CF24B7"/>
    <w:rsid w:val="00CF2789"/>
    <w:rsid w:val="00CF44B4"/>
    <w:rsid w:val="00CF4874"/>
    <w:rsid w:val="00CF4AED"/>
    <w:rsid w:val="00CF4C3E"/>
    <w:rsid w:val="00CF57F5"/>
    <w:rsid w:val="00CF633B"/>
    <w:rsid w:val="00CF731D"/>
    <w:rsid w:val="00D0031E"/>
    <w:rsid w:val="00D00881"/>
    <w:rsid w:val="00D01B6A"/>
    <w:rsid w:val="00D03BFB"/>
    <w:rsid w:val="00D06119"/>
    <w:rsid w:val="00D074E3"/>
    <w:rsid w:val="00D10549"/>
    <w:rsid w:val="00D14195"/>
    <w:rsid w:val="00D1561A"/>
    <w:rsid w:val="00D16E1B"/>
    <w:rsid w:val="00D17CAE"/>
    <w:rsid w:val="00D2117C"/>
    <w:rsid w:val="00D22DBD"/>
    <w:rsid w:val="00D23419"/>
    <w:rsid w:val="00D23C00"/>
    <w:rsid w:val="00D25546"/>
    <w:rsid w:val="00D26521"/>
    <w:rsid w:val="00D26E14"/>
    <w:rsid w:val="00D27204"/>
    <w:rsid w:val="00D275A5"/>
    <w:rsid w:val="00D33754"/>
    <w:rsid w:val="00D33756"/>
    <w:rsid w:val="00D34EDB"/>
    <w:rsid w:val="00D35B8E"/>
    <w:rsid w:val="00D37A3A"/>
    <w:rsid w:val="00D405EC"/>
    <w:rsid w:val="00D41931"/>
    <w:rsid w:val="00D42096"/>
    <w:rsid w:val="00D420C3"/>
    <w:rsid w:val="00D437B5"/>
    <w:rsid w:val="00D45783"/>
    <w:rsid w:val="00D463BA"/>
    <w:rsid w:val="00D46448"/>
    <w:rsid w:val="00D4771E"/>
    <w:rsid w:val="00D4794A"/>
    <w:rsid w:val="00D47AAA"/>
    <w:rsid w:val="00D50749"/>
    <w:rsid w:val="00D52818"/>
    <w:rsid w:val="00D52B8F"/>
    <w:rsid w:val="00D53337"/>
    <w:rsid w:val="00D5435B"/>
    <w:rsid w:val="00D56480"/>
    <w:rsid w:val="00D61169"/>
    <w:rsid w:val="00D61460"/>
    <w:rsid w:val="00D61464"/>
    <w:rsid w:val="00D61CDA"/>
    <w:rsid w:val="00D63A41"/>
    <w:rsid w:val="00D6519F"/>
    <w:rsid w:val="00D65BDA"/>
    <w:rsid w:val="00D65EB9"/>
    <w:rsid w:val="00D66304"/>
    <w:rsid w:val="00D665A3"/>
    <w:rsid w:val="00D67361"/>
    <w:rsid w:val="00D67D6F"/>
    <w:rsid w:val="00D70974"/>
    <w:rsid w:val="00D72CCD"/>
    <w:rsid w:val="00D73C2F"/>
    <w:rsid w:val="00D759B7"/>
    <w:rsid w:val="00D7763A"/>
    <w:rsid w:val="00D802DB"/>
    <w:rsid w:val="00D81303"/>
    <w:rsid w:val="00D82212"/>
    <w:rsid w:val="00D833DB"/>
    <w:rsid w:val="00D839F7"/>
    <w:rsid w:val="00D83BC3"/>
    <w:rsid w:val="00D8693A"/>
    <w:rsid w:val="00D86959"/>
    <w:rsid w:val="00D86C88"/>
    <w:rsid w:val="00D86FBD"/>
    <w:rsid w:val="00D90B55"/>
    <w:rsid w:val="00D92577"/>
    <w:rsid w:val="00D92E07"/>
    <w:rsid w:val="00D96ABB"/>
    <w:rsid w:val="00D971CC"/>
    <w:rsid w:val="00D971F8"/>
    <w:rsid w:val="00DA038E"/>
    <w:rsid w:val="00DA043F"/>
    <w:rsid w:val="00DA1B95"/>
    <w:rsid w:val="00DA2667"/>
    <w:rsid w:val="00DA2948"/>
    <w:rsid w:val="00DA3E58"/>
    <w:rsid w:val="00DA42DB"/>
    <w:rsid w:val="00DA435B"/>
    <w:rsid w:val="00DA5BAB"/>
    <w:rsid w:val="00DA6020"/>
    <w:rsid w:val="00DA6420"/>
    <w:rsid w:val="00DB23A1"/>
    <w:rsid w:val="00DB261C"/>
    <w:rsid w:val="00DB4314"/>
    <w:rsid w:val="00DB7257"/>
    <w:rsid w:val="00DC1150"/>
    <w:rsid w:val="00DC2752"/>
    <w:rsid w:val="00DC2AFA"/>
    <w:rsid w:val="00DC3353"/>
    <w:rsid w:val="00DC3613"/>
    <w:rsid w:val="00DC3DCE"/>
    <w:rsid w:val="00DC64AB"/>
    <w:rsid w:val="00DC6622"/>
    <w:rsid w:val="00DC7396"/>
    <w:rsid w:val="00DD1F46"/>
    <w:rsid w:val="00DD3F8F"/>
    <w:rsid w:val="00DD51D5"/>
    <w:rsid w:val="00DD5EA2"/>
    <w:rsid w:val="00DD7198"/>
    <w:rsid w:val="00DD7E47"/>
    <w:rsid w:val="00DE0AAE"/>
    <w:rsid w:val="00DE0ACE"/>
    <w:rsid w:val="00DE0FE5"/>
    <w:rsid w:val="00DE3E6D"/>
    <w:rsid w:val="00DE6A96"/>
    <w:rsid w:val="00DE78D6"/>
    <w:rsid w:val="00DF0D8B"/>
    <w:rsid w:val="00DF1609"/>
    <w:rsid w:val="00DF7122"/>
    <w:rsid w:val="00DF76CA"/>
    <w:rsid w:val="00E00EEE"/>
    <w:rsid w:val="00E03168"/>
    <w:rsid w:val="00E031B2"/>
    <w:rsid w:val="00E0457E"/>
    <w:rsid w:val="00E063CD"/>
    <w:rsid w:val="00E074D9"/>
    <w:rsid w:val="00E07514"/>
    <w:rsid w:val="00E101EF"/>
    <w:rsid w:val="00E107E1"/>
    <w:rsid w:val="00E10F7F"/>
    <w:rsid w:val="00E132B7"/>
    <w:rsid w:val="00E136A7"/>
    <w:rsid w:val="00E13AF1"/>
    <w:rsid w:val="00E13E14"/>
    <w:rsid w:val="00E17078"/>
    <w:rsid w:val="00E20704"/>
    <w:rsid w:val="00E23316"/>
    <w:rsid w:val="00E234B3"/>
    <w:rsid w:val="00E30DFF"/>
    <w:rsid w:val="00E32D1B"/>
    <w:rsid w:val="00E33370"/>
    <w:rsid w:val="00E33E51"/>
    <w:rsid w:val="00E34AEA"/>
    <w:rsid w:val="00E35C34"/>
    <w:rsid w:val="00E40DC9"/>
    <w:rsid w:val="00E41F67"/>
    <w:rsid w:val="00E42845"/>
    <w:rsid w:val="00E44CA1"/>
    <w:rsid w:val="00E47E46"/>
    <w:rsid w:val="00E500D5"/>
    <w:rsid w:val="00E503F3"/>
    <w:rsid w:val="00E51DC4"/>
    <w:rsid w:val="00E5410B"/>
    <w:rsid w:val="00E55CED"/>
    <w:rsid w:val="00E56A3E"/>
    <w:rsid w:val="00E56BC7"/>
    <w:rsid w:val="00E56C46"/>
    <w:rsid w:val="00E6085C"/>
    <w:rsid w:val="00E60B97"/>
    <w:rsid w:val="00E62183"/>
    <w:rsid w:val="00E62499"/>
    <w:rsid w:val="00E65C3D"/>
    <w:rsid w:val="00E701DB"/>
    <w:rsid w:val="00E70232"/>
    <w:rsid w:val="00E71ADF"/>
    <w:rsid w:val="00E72033"/>
    <w:rsid w:val="00E72147"/>
    <w:rsid w:val="00E724F5"/>
    <w:rsid w:val="00E72589"/>
    <w:rsid w:val="00E7287E"/>
    <w:rsid w:val="00E7443B"/>
    <w:rsid w:val="00E77F8D"/>
    <w:rsid w:val="00E810E8"/>
    <w:rsid w:val="00E81138"/>
    <w:rsid w:val="00E821DB"/>
    <w:rsid w:val="00E82454"/>
    <w:rsid w:val="00E839A2"/>
    <w:rsid w:val="00E83ED2"/>
    <w:rsid w:val="00E856D3"/>
    <w:rsid w:val="00E8585F"/>
    <w:rsid w:val="00E85ED7"/>
    <w:rsid w:val="00E879F9"/>
    <w:rsid w:val="00E903FB"/>
    <w:rsid w:val="00E911D3"/>
    <w:rsid w:val="00E9151B"/>
    <w:rsid w:val="00E94F21"/>
    <w:rsid w:val="00E956F9"/>
    <w:rsid w:val="00E96832"/>
    <w:rsid w:val="00EA03D3"/>
    <w:rsid w:val="00EA0794"/>
    <w:rsid w:val="00EA54C9"/>
    <w:rsid w:val="00EA6D33"/>
    <w:rsid w:val="00EA73BB"/>
    <w:rsid w:val="00EB0885"/>
    <w:rsid w:val="00EB0B13"/>
    <w:rsid w:val="00EB1DAC"/>
    <w:rsid w:val="00EB251E"/>
    <w:rsid w:val="00EB331B"/>
    <w:rsid w:val="00EB4D60"/>
    <w:rsid w:val="00EB7554"/>
    <w:rsid w:val="00EC005D"/>
    <w:rsid w:val="00EC45AF"/>
    <w:rsid w:val="00EC4681"/>
    <w:rsid w:val="00EC63AF"/>
    <w:rsid w:val="00EC66D1"/>
    <w:rsid w:val="00EC6FEC"/>
    <w:rsid w:val="00EC7AD5"/>
    <w:rsid w:val="00ED30A5"/>
    <w:rsid w:val="00ED38FD"/>
    <w:rsid w:val="00ED5714"/>
    <w:rsid w:val="00ED6048"/>
    <w:rsid w:val="00ED6479"/>
    <w:rsid w:val="00EE1BCC"/>
    <w:rsid w:val="00EE3E33"/>
    <w:rsid w:val="00EF2A86"/>
    <w:rsid w:val="00EF3F81"/>
    <w:rsid w:val="00EF45DF"/>
    <w:rsid w:val="00EF57A2"/>
    <w:rsid w:val="00EF5DAA"/>
    <w:rsid w:val="00F045BC"/>
    <w:rsid w:val="00F05F2A"/>
    <w:rsid w:val="00F05FB9"/>
    <w:rsid w:val="00F11811"/>
    <w:rsid w:val="00F1282B"/>
    <w:rsid w:val="00F1604B"/>
    <w:rsid w:val="00F16D72"/>
    <w:rsid w:val="00F21755"/>
    <w:rsid w:val="00F2297E"/>
    <w:rsid w:val="00F22AA9"/>
    <w:rsid w:val="00F23297"/>
    <w:rsid w:val="00F25A13"/>
    <w:rsid w:val="00F25A68"/>
    <w:rsid w:val="00F25BD0"/>
    <w:rsid w:val="00F271EE"/>
    <w:rsid w:val="00F31DC9"/>
    <w:rsid w:val="00F32C6E"/>
    <w:rsid w:val="00F3460D"/>
    <w:rsid w:val="00F35688"/>
    <w:rsid w:val="00F36B0A"/>
    <w:rsid w:val="00F401F0"/>
    <w:rsid w:val="00F43202"/>
    <w:rsid w:val="00F440F0"/>
    <w:rsid w:val="00F460AF"/>
    <w:rsid w:val="00F46B84"/>
    <w:rsid w:val="00F477D9"/>
    <w:rsid w:val="00F51288"/>
    <w:rsid w:val="00F52EE5"/>
    <w:rsid w:val="00F53525"/>
    <w:rsid w:val="00F53C86"/>
    <w:rsid w:val="00F55A5C"/>
    <w:rsid w:val="00F61842"/>
    <w:rsid w:val="00F62644"/>
    <w:rsid w:val="00F6298C"/>
    <w:rsid w:val="00F63EB3"/>
    <w:rsid w:val="00F665CF"/>
    <w:rsid w:val="00F72687"/>
    <w:rsid w:val="00F72E94"/>
    <w:rsid w:val="00F733FE"/>
    <w:rsid w:val="00F73931"/>
    <w:rsid w:val="00F75926"/>
    <w:rsid w:val="00F76900"/>
    <w:rsid w:val="00F7695C"/>
    <w:rsid w:val="00F803BB"/>
    <w:rsid w:val="00F80E10"/>
    <w:rsid w:val="00F814B4"/>
    <w:rsid w:val="00F81D00"/>
    <w:rsid w:val="00F82C1D"/>
    <w:rsid w:val="00F901F0"/>
    <w:rsid w:val="00F904FD"/>
    <w:rsid w:val="00F92A0A"/>
    <w:rsid w:val="00F92EB9"/>
    <w:rsid w:val="00F93510"/>
    <w:rsid w:val="00F935AB"/>
    <w:rsid w:val="00F944A8"/>
    <w:rsid w:val="00FA27BE"/>
    <w:rsid w:val="00FA347E"/>
    <w:rsid w:val="00FA3AF9"/>
    <w:rsid w:val="00FA4285"/>
    <w:rsid w:val="00FA485A"/>
    <w:rsid w:val="00FA5821"/>
    <w:rsid w:val="00FA6333"/>
    <w:rsid w:val="00FA65FC"/>
    <w:rsid w:val="00FA7756"/>
    <w:rsid w:val="00FA7CD9"/>
    <w:rsid w:val="00FB3CBC"/>
    <w:rsid w:val="00FB42B2"/>
    <w:rsid w:val="00FB661B"/>
    <w:rsid w:val="00FC1ADF"/>
    <w:rsid w:val="00FC25F3"/>
    <w:rsid w:val="00FC321B"/>
    <w:rsid w:val="00FC491F"/>
    <w:rsid w:val="00FC685C"/>
    <w:rsid w:val="00FC7354"/>
    <w:rsid w:val="00FD2073"/>
    <w:rsid w:val="00FD209F"/>
    <w:rsid w:val="00FD24CE"/>
    <w:rsid w:val="00FD2E45"/>
    <w:rsid w:val="00FD2E8B"/>
    <w:rsid w:val="00FD3554"/>
    <w:rsid w:val="00FD5283"/>
    <w:rsid w:val="00FD61E0"/>
    <w:rsid w:val="00FE00E7"/>
    <w:rsid w:val="00FE0638"/>
    <w:rsid w:val="00FE138C"/>
    <w:rsid w:val="00FE14A4"/>
    <w:rsid w:val="00FE319C"/>
    <w:rsid w:val="00FE423B"/>
    <w:rsid w:val="00FE4CEB"/>
    <w:rsid w:val="00FE5B5D"/>
    <w:rsid w:val="00FE65A8"/>
    <w:rsid w:val="00FE6905"/>
    <w:rsid w:val="00FF0ABB"/>
    <w:rsid w:val="00FF0FE0"/>
    <w:rsid w:val="00FF3553"/>
    <w:rsid w:val="00FF38E5"/>
    <w:rsid w:val="00FF459E"/>
    <w:rsid w:val="00FF55EC"/>
    <w:rsid w:val="00FF5E27"/>
    <w:rsid w:val="00FF6AB5"/>
    <w:rsid w:val="00FF70D5"/>
    <w:rsid w:val="751E7C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qFormat="1" w:uiPriority="39" w:semiHidden="0" w:name="toc 5"/>
    <w:lsdException w:uiPriority="39" w:name="toc 6"/>
    <w:lsdException w:qFormat="1" w:unhideWhenUsed="0" w:uiPriority="99" w:semiHidden="0"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仿宋" w:asciiTheme="minorHAnsi" w:hAnsiTheme="minorHAnsi" w:cstheme="minorBidi"/>
      <w:kern w:val="2"/>
      <w:sz w:val="24"/>
      <w:szCs w:val="22"/>
      <w:lang w:val="en-US" w:eastAsia="zh-CN" w:bidi="ar-SA"/>
    </w:rPr>
  </w:style>
  <w:style w:type="paragraph" w:styleId="2">
    <w:name w:val="heading 1"/>
    <w:basedOn w:val="1"/>
    <w:next w:val="1"/>
    <w:link w:val="31"/>
    <w:qFormat/>
    <w:uiPriority w:val="0"/>
    <w:pPr>
      <w:keepNext/>
      <w:widowControl/>
      <w:ind w:firstLine="0" w:firstLineChars="0"/>
      <w:jc w:val="left"/>
      <w:outlineLvl w:val="0"/>
    </w:pPr>
    <w:rPr>
      <w:rFonts w:cs="宋体" w:asciiTheme="majorHAnsi" w:hAnsiTheme="majorHAnsi"/>
      <w:b/>
      <w:bCs/>
      <w:kern w:val="32"/>
      <w:szCs w:val="32"/>
    </w:rPr>
  </w:style>
  <w:style w:type="paragraph" w:styleId="3">
    <w:name w:val="heading 2"/>
    <w:basedOn w:val="1"/>
    <w:next w:val="1"/>
    <w:link w:val="3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7"/>
    <w:qFormat/>
    <w:uiPriority w:val="0"/>
    <w:pPr>
      <w:spacing w:before="100" w:beforeAutospacing="1" w:after="100" w:afterAutospacing="1" w:line="240" w:lineRule="auto"/>
      <w:ind w:firstLine="0" w:firstLineChars="0"/>
      <w:jc w:val="left"/>
      <w:outlineLvl w:val="4"/>
    </w:pPr>
    <w:rPr>
      <w:rFonts w:hint="eastAsia" w:ascii="宋体" w:hAnsi="宋体" w:eastAsia="宋体" w:cs="Times New Roman"/>
      <w:b/>
      <w:bCs/>
      <w:kern w:val="0"/>
      <w:sz w:val="20"/>
      <w:szCs w:val="20"/>
    </w:rPr>
  </w:style>
  <w:style w:type="character" w:default="1" w:styleId="27">
    <w:name w:val="Default Paragraph Font"/>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99"/>
    <w:pPr>
      <w:spacing w:line="240" w:lineRule="auto"/>
      <w:ind w:left="1260" w:firstLine="0" w:firstLineChars="0"/>
      <w:jc w:val="left"/>
    </w:pPr>
    <w:rPr>
      <w:rFonts w:ascii="Calibri" w:hAnsi="Calibri" w:eastAsia="宋体" w:cs="Times New Roman"/>
      <w:sz w:val="18"/>
      <w:szCs w:val="18"/>
    </w:rPr>
  </w:style>
  <w:style w:type="paragraph" w:styleId="8">
    <w:name w:val="Body Text"/>
    <w:basedOn w:val="1"/>
    <w:next w:val="9"/>
    <w:link w:val="38"/>
    <w:qFormat/>
    <w:uiPriority w:val="0"/>
    <w:pPr>
      <w:spacing w:after="120" w:line="240" w:lineRule="auto"/>
    </w:pPr>
    <w:rPr>
      <w:rFonts w:ascii="Calibri" w:hAnsi="Calibri" w:eastAsia="宋体" w:cs="Times New Roman"/>
      <w:sz w:val="21"/>
      <w:szCs w:val="24"/>
    </w:rPr>
  </w:style>
  <w:style w:type="paragraph" w:styleId="9">
    <w:name w:val="toc 5"/>
    <w:basedOn w:val="1"/>
    <w:next w:val="1"/>
    <w:autoRedefine/>
    <w:unhideWhenUsed/>
    <w:qFormat/>
    <w:uiPriority w:val="39"/>
    <w:pPr>
      <w:ind w:firstLine="482"/>
    </w:pPr>
    <w:rPr>
      <w:b/>
      <w:bCs/>
      <w:color w:val="4472C4" w:themeColor="accent1"/>
      <w14:textFill>
        <w14:solidFill>
          <w14:schemeClr w14:val="accent1"/>
        </w14:solidFill>
      </w14:textFill>
    </w:rPr>
  </w:style>
  <w:style w:type="paragraph" w:styleId="10">
    <w:name w:val="Body Text Indent"/>
    <w:basedOn w:val="1"/>
    <w:next w:val="11"/>
    <w:link w:val="58"/>
    <w:qFormat/>
    <w:uiPriority w:val="99"/>
    <w:pPr>
      <w:spacing w:line="240" w:lineRule="auto"/>
      <w:ind w:left="420" w:leftChars="200" w:firstLine="0" w:firstLineChars="0"/>
    </w:pPr>
    <w:rPr>
      <w:rFonts w:ascii="Calibri" w:hAnsi="Calibri" w:eastAsia="宋体" w:cs="Times New Roman"/>
      <w:sz w:val="21"/>
      <w:szCs w:val="24"/>
    </w:rPr>
  </w:style>
  <w:style w:type="paragraph" w:styleId="11">
    <w:name w:val="envelope return"/>
    <w:basedOn w:val="1"/>
    <w:next w:val="7"/>
    <w:qFormat/>
    <w:uiPriority w:val="99"/>
    <w:pPr>
      <w:snapToGrid w:val="0"/>
      <w:spacing w:line="240" w:lineRule="auto"/>
      <w:ind w:firstLine="0" w:firstLineChars="0"/>
    </w:pPr>
    <w:rPr>
      <w:rFonts w:ascii="Arial" w:hAnsi="Arial" w:eastAsia="宋体" w:cs="Times New Roman"/>
      <w:sz w:val="21"/>
      <w:szCs w:val="24"/>
    </w:rPr>
  </w:style>
  <w:style w:type="paragraph" w:styleId="12">
    <w:name w:val="toc 3"/>
    <w:basedOn w:val="1"/>
    <w:next w:val="1"/>
    <w:autoRedefine/>
    <w:unhideWhenUsed/>
    <w:uiPriority w:val="39"/>
    <w:pPr>
      <w:widowControl/>
      <w:spacing w:after="100" w:line="259" w:lineRule="auto"/>
      <w:ind w:left="440" w:firstLine="0" w:firstLineChars="0"/>
      <w:jc w:val="left"/>
    </w:pPr>
    <w:rPr>
      <w:rFonts w:cs="Times New Roman" w:eastAsiaTheme="minorEastAsia"/>
      <w:kern w:val="0"/>
      <w:sz w:val="22"/>
    </w:rPr>
  </w:style>
  <w:style w:type="paragraph" w:styleId="13">
    <w:name w:val="Date"/>
    <w:basedOn w:val="1"/>
    <w:next w:val="1"/>
    <w:link w:val="45"/>
    <w:semiHidden/>
    <w:unhideWhenUsed/>
    <w:uiPriority w:val="99"/>
    <w:pPr>
      <w:ind w:left="100" w:leftChars="2500"/>
    </w:pPr>
  </w:style>
  <w:style w:type="paragraph" w:styleId="14">
    <w:name w:val="Body Text Indent 2"/>
    <w:basedOn w:val="1"/>
    <w:link w:val="53"/>
    <w:unhideWhenUsed/>
    <w:qFormat/>
    <w:uiPriority w:val="99"/>
    <w:pPr>
      <w:spacing w:after="120" w:line="480" w:lineRule="auto"/>
      <w:ind w:left="420" w:leftChars="200"/>
    </w:pPr>
  </w:style>
  <w:style w:type="paragraph" w:styleId="15">
    <w:name w:val="footer"/>
    <w:basedOn w:val="1"/>
    <w:link w:val="35"/>
    <w:unhideWhenUsed/>
    <w:qFormat/>
    <w:uiPriority w:val="0"/>
    <w:pPr>
      <w:tabs>
        <w:tab w:val="center" w:pos="4153"/>
        <w:tab w:val="right" w:pos="8306"/>
      </w:tabs>
      <w:snapToGrid w:val="0"/>
      <w:jc w:val="left"/>
    </w:pPr>
    <w:rPr>
      <w:sz w:val="18"/>
      <w:szCs w:val="18"/>
    </w:rPr>
  </w:style>
  <w:style w:type="paragraph" w:styleId="16">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uiPriority w:val="39"/>
    <w:pPr>
      <w:widowControl/>
      <w:spacing w:after="100" w:line="259" w:lineRule="auto"/>
      <w:ind w:firstLine="0" w:firstLineChars="0"/>
      <w:jc w:val="left"/>
    </w:pPr>
    <w:rPr>
      <w:rFonts w:cs="Times New Roman" w:eastAsiaTheme="minorEastAsia"/>
      <w:kern w:val="0"/>
      <w:sz w:val="22"/>
    </w:rPr>
  </w:style>
  <w:style w:type="paragraph" w:styleId="18">
    <w:name w:val="Subtitle"/>
    <w:basedOn w:val="3"/>
    <w:next w:val="1"/>
    <w:link w:val="59"/>
    <w:qFormat/>
    <w:uiPriority w:val="11"/>
    <w:pPr>
      <w:keepNext w:val="0"/>
      <w:keepLines w:val="0"/>
      <w:numPr>
        <w:ilvl w:val="1"/>
        <w:numId w:val="1"/>
      </w:numPr>
      <w:spacing w:before="100" w:beforeLines="100" w:beforeAutospacing="1" w:after="100" w:afterLines="100" w:afterAutospacing="1" w:line="240" w:lineRule="auto"/>
      <w:ind w:firstLine="0" w:firstLineChars="0"/>
      <w:jc w:val="left"/>
    </w:pPr>
    <w:rPr>
      <w:rFonts w:hint="eastAsia" w:ascii="宋体" w:hAnsi="宋体" w:eastAsia="方正仿宋_GB2312" w:cs="Times New Roman"/>
      <w:kern w:val="0"/>
      <w:sz w:val="30"/>
      <w:szCs w:val="36"/>
    </w:rPr>
  </w:style>
  <w:style w:type="paragraph" w:styleId="19">
    <w:name w:val="toc 2"/>
    <w:basedOn w:val="1"/>
    <w:next w:val="1"/>
    <w:autoRedefine/>
    <w:unhideWhenUsed/>
    <w:uiPriority w:val="39"/>
    <w:pPr>
      <w:widowControl/>
      <w:spacing w:after="100" w:line="259" w:lineRule="auto"/>
      <w:ind w:left="220" w:firstLine="0" w:firstLineChars="0"/>
      <w:jc w:val="left"/>
    </w:pPr>
    <w:rPr>
      <w:rFonts w:cs="Times New Roman" w:eastAsiaTheme="minorEastAsia"/>
      <w:kern w:val="0"/>
      <w:sz w:val="22"/>
    </w:rPr>
  </w:style>
  <w:style w:type="paragraph" w:styleId="20">
    <w:name w:val="HTML Preformatted"/>
    <w:basedOn w:val="1"/>
    <w:link w:val="6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hint="eastAsia" w:ascii="宋体" w:hAnsi="宋体" w:eastAsia="宋体" w:cs="Times New Roman"/>
      <w:kern w:val="0"/>
      <w:szCs w:val="24"/>
    </w:rPr>
  </w:style>
  <w:style w:type="paragraph" w:styleId="21">
    <w:name w:val="Normal (Web)"/>
    <w:basedOn w:val="1"/>
    <w:unhideWhenUsed/>
    <w:qFormat/>
    <w:uiPriority w:val="0"/>
    <w:pPr>
      <w:widowControl/>
      <w:spacing w:before="100" w:beforeAutospacing="1" w:after="100" w:afterAutospacing="1" w:line="240" w:lineRule="auto"/>
      <w:jc w:val="left"/>
    </w:pPr>
    <w:rPr>
      <w:rFonts w:ascii="宋体" w:hAnsi="宋体" w:eastAsia="宋体" w:cs="宋体"/>
      <w:kern w:val="0"/>
      <w:szCs w:val="24"/>
    </w:rPr>
  </w:style>
  <w:style w:type="paragraph" w:styleId="22">
    <w:name w:val="Title"/>
    <w:basedOn w:val="2"/>
    <w:next w:val="1"/>
    <w:link w:val="61"/>
    <w:qFormat/>
    <w:uiPriority w:val="10"/>
    <w:pPr>
      <w:keepNext w:val="0"/>
      <w:widowControl w:val="0"/>
      <w:numPr>
        <w:ilvl w:val="0"/>
        <w:numId w:val="1"/>
      </w:numPr>
      <w:spacing w:before="312" w:beforeAutospacing="1" w:after="312" w:afterAutospacing="1" w:line="240" w:lineRule="auto"/>
    </w:pPr>
    <w:rPr>
      <w:rFonts w:hint="eastAsia" w:ascii="宋体" w:hAnsi="宋体" w:eastAsia="黑体" w:cs="Times New Roman"/>
      <w:b w:val="0"/>
      <w:kern w:val="44"/>
      <w:sz w:val="36"/>
      <w:szCs w:val="48"/>
    </w:rPr>
  </w:style>
  <w:style w:type="paragraph" w:styleId="23">
    <w:name w:val="Body Text First Indent"/>
    <w:basedOn w:val="8"/>
    <w:link w:val="62"/>
    <w:qFormat/>
    <w:uiPriority w:val="0"/>
    <w:pPr>
      <w:ind w:firstLine="420" w:firstLineChars="100"/>
    </w:pPr>
  </w:style>
  <w:style w:type="paragraph" w:styleId="24">
    <w:name w:val="Body Text First Indent 2"/>
    <w:basedOn w:val="10"/>
    <w:next w:val="1"/>
    <w:link w:val="63"/>
    <w:qFormat/>
    <w:uiPriority w:val="99"/>
    <w:pPr>
      <w:spacing w:line="360" w:lineRule="auto"/>
      <w:ind w:firstLine="200" w:firstLineChars="200"/>
    </w:pPr>
    <w:rPr>
      <w:rFonts w:ascii="宋体"/>
      <w:szCs w:val="20"/>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Emphasis"/>
    <w:qFormat/>
    <w:uiPriority w:val="0"/>
    <w:rPr>
      <w:i/>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customStyle="1" w:styleId="31">
    <w:name w:val="标题 1 字符"/>
    <w:basedOn w:val="27"/>
    <w:link w:val="2"/>
    <w:qFormat/>
    <w:uiPriority w:val="9"/>
    <w:rPr>
      <w:rFonts w:eastAsia="仿宋" w:cs="宋体" w:asciiTheme="majorHAnsi" w:hAnsiTheme="majorHAnsi"/>
      <w:b/>
      <w:bCs/>
      <w:kern w:val="32"/>
      <w:sz w:val="24"/>
      <w:szCs w:val="32"/>
    </w:rPr>
  </w:style>
  <w:style w:type="paragraph" w:styleId="32">
    <w:name w:val="List Paragraph"/>
    <w:basedOn w:val="1"/>
    <w:qFormat/>
    <w:uiPriority w:val="34"/>
    <w:pPr>
      <w:widowControl/>
      <w:ind w:left="720"/>
      <w:contextualSpacing/>
      <w:jc w:val="left"/>
    </w:pPr>
    <w:rPr>
      <w:rFonts w:cs="Times New Roman"/>
      <w:kern w:val="0"/>
      <w:szCs w:val="24"/>
    </w:rPr>
  </w:style>
  <w:style w:type="table" w:customStyle="1" w:styleId="33">
    <w:name w:val="Grid Table 1 Light Accent 1"/>
    <w:basedOn w:val="25"/>
    <w:qFormat/>
    <w:uiPriority w:val="46"/>
    <w:rPr>
      <w:rFonts w:cs="Times New Roman"/>
      <w:kern w:val="0"/>
      <w:sz w:val="22"/>
    </w:rPr>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character" w:customStyle="1" w:styleId="34">
    <w:name w:val="页眉 字符"/>
    <w:basedOn w:val="27"/>
    <w:link w:val="16"/>
    <w:qFormat/>
    <w:uiPriority w:val="0"/>
    <w:rPr>
      <w:sz w:val="18"/>
      <w:szCs w:val="18"/>
    </w:rPr>
  </w:style>
  <w:style w:type="character" w:customStyle="1" w:styleId="35">
    <w:name w:val="页脚 字符"/>
    <w:basedOn w:val="27"/>
    <w:link w:val="15"/>
    <w:qFormat/>
    <w:uiPriority w:val="0"/>
    <w:rPr>
      <w:sz w:val="18"/>
      <w:szCs w:val="18"/>
    </w:rPr>
  </w:style>
  <w:style w:type="character" w:customStyle="1" w:styleId="36">
    <w:name w:val="未处理的提及1"/>
    <w:basedOn w:val="27"/>
    <w:semiHidden/>
    <w:unhideWhenUsed/>
    <w:qFormat/>
    <w:uiPriority w:val="99"/>
    <w:rPr>
      <w:color w:val="605E5C"/>
      <w:shd w:val="clear" w:color="auto" w:fill="E1DFDD"/>
    </w:rPr>
  </w:style>
  <w:style w:type="character" w:customStyle="1" w:styleId="37">
    <w:name w:val="标题 2 字符"/>
    <w:basedOn w:val="27"/>
    <w:link w:val="3"/>
    <w:qFormat/>
    <w:uiPriority w:val="9"/>
    <w:rPr>
      <w:rFonts w:asciiTheme="majorHAnsi" w:hAnsiTheme="majorHAnsi" w:eastAsiaTheme="majorEastAsia" w:cstheme="majorBidi"/>
      <w:b/>
      <w:bCs/>
      <w:sz w:val="32"/>
      <w:szCs w:val="32"/>
    </w:rPr>
  </w:style>
  <w:style w:type="character" w:customStyle="1" w:styleId="38">
    <w:name w:val="正文文本 字符"/>
    <w:basedOn w:val="27"/>
    <w:link w:val="8"/>
    <w:qFormat/>
    <w:uiPriority w:val="99"/>
    <w:rPr>
      <w:rFonts w:ascii="Calibri" w:hAnsi="Calibri" w:eastAsia="宋体" w:cs="Times New Roman"/>
      <w:szCs w:val="24"/>
    </w:rPr>
  </w:style>
  <w:style w:type="character" w:customStyle="1" w:styleId="39">
    <w:name w:val="标题 3 字符"/>
    <w:basedOn w:val="27"/>
    <w:link w:val="4"/>
    <w:qFormat/>
    <w:uiPriority w:val="9"/>
    <w:rPr>
      <w:rFonts w:eastAsia="仿宋"/>
      <w:b/>
      <w:bCs/>
      <w:sz w:val="32"/>
      <w:szCs w:val="32"/>
    </w:rPr>
  </w:style>
  <w:style w:type="character" w:customStyle="1" w:styleId="40">
    <w:name w:val="bjh-p"/>
    <w:basedOn w:val="27"/>
    <w:qFormat/>
    <w:uiPriority w:val="0"/>
  </w:style>
  <w:style w:type="character" w:customStyle="1" w:styleId="41">
    <w:name w:val="bjh-strong"/>
    <w:basedOn w:val="27"/>
    <w:qFormat/>
    <w:uiPriority w:val="0"/>
  </w:style>
  <w:style w:type="paragraph" w:customStyle="1" w:styleId="42">
    <w:name w:val="_Style 5"/>
    <w:qFormat/>
    <w:uiPriority w:val="0"/>
    <w:pPr>
      <w:widowControl w:val="0"/>
      <w:ind w:firstLine="200" w:firstLineChars="200"/>
      <w:jc w:val="both"/>
    </w:pPr>
    <w:rPr>
      <w:rFonts w:ascii="Times New Roman" w:hAnsi="Times New Roman" w:eastAsia="宋体" w:cs="Times New Roman"/>
      <w:kern w:val="2"/>
      <w:sz w:val="24"/>
      <w:szCs w:val="20"/>
      <w:lang w:val="en-US" w:eastAsia="zh-CN" w:bidi="ar-SA"/>
    </w:rPr>
  </w:style>
  <w:style w:type="table" w:customStyle="1" w:styleId="43">
    <w:name w:val="Grid Table 4 Accent 5"/>
    <w:basedOn w:val="25"/>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44">
    <w:name w:val="Grid Table 4 Accent 1"/>
    <w:basedOn w:val="25"/>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45">
    <w:name w:val="日期 字符"/>
    <w:basedOn w:val="27"/>
    <w:link w:val="13"/>
    <w:semiHidden/>
    <w:uiPriority w:val="99"/>
    <w:rPr>
      <w:rFonts w:eastAsia="仿宋"/>
      <w:sz w:val="24"/>
    </w:rPr>
  </w:style>
  <w:style w:type="character" w:customStyle="1" w:styleId="46">
    <w:name w:val="Unresolved Mention"/>
    <w:basedOn w:val="27"/>
    <w:semiHidden/>
    <w:unhideWhenUsed/>
    <w:uiPriority w:val="99"/>
    <w:rPr>
      <w:color w:val="605E5C"/>
      <w:shd w:val="clear" w:color="auto" w:fill="E1DFDD"/>
    </w:rPr>
  </w:style>
  <w:style w:type="paragraph" w:customStyle="1" w:styleId="47">
    <w:name w:val="Revision"/>
    <w:hidden/>
    <w:semiHidden/>
    <w:uiPriority w:val="99"/>
    <w:rPr>
      <w:rFonts w:eastAsia="仿宋" w:asciiTheme="minorHAnsi" w:hAnsiTheme="minorHAnsi" w:cstheme="minorBidi"/>
      <w:kern w:val="2"/>
      <w:sz w:val="24"/>
      <w:szCs w:val="22"/>
      <w:lang w:val="en-US" w:eastAsia="zh-CN" w:bidi="ar-SA"/>
    </w:rPr>
  </w:style>
  <w:style w:type="paragraph" w:customStyle="1" w:styleId="48">
    <w:name w:val="a正文"/>
    <w:basedOn w:val="1"/>
    <w:link w:val="49"/>
    <w:qFormat/>
    <w:uiPriority w:val="0"/>
    <w:pPr>
      <w:widowControl/>
      <w:topLinePunct/>
    </w:pPr>
    <w:rPr>
      <w:rFonts w:ascii="Times New Roman" w:hAnsi="Times New Roman"/>
      <w:kern w:val="0"/>
      <w:szCs w:val="24"/>
    </w:rPr>
  </w:style>
  <w:style w:type="character" w:customStyle="1" w:styleId="49">
    <w:name w:val="a正文 Char"/>
    <w:basedOn w:val="27"/>
    <w:link w:val="48"/>
    <w:uiPriority w:val="0"/>
    <w:rPr>
      <w:rFonts w:ascii="Times New Roman" w:hAnsi="Times New Roman" w:eastAsia="仿宋"/>
      <w:kern w:val="0"/>
      <w:sz w:val="24"/>
      <w:szCs w:val="24"/>
    </w:rPr>
  </w:style>
  <w:style w:type="table" w:customStyle="1" w:styleId="50">
    <w:name w:val="Grid Table 6 Colorful Accent 5"/>
    <w:basedOn w:val="25"/>
    <w:uiPriority w:val="51"/>
    <w:rPr>
      <w:color w:val="2E75B6" w:themeColor="accent5" w:themeShade="BF"/>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51">
    <w:name w:val="TOC Heading"/>
    <w:basedOn w:val="2"/>
    <w:next w:val="1"/>
    <w:unhideWhenUsed/>
    <w:qFormat/>
    <w:uiPriority w:val="39"/>
    <w:pPr>
      <w:keepLines/>
      <w:spacing w:before="240" w:line="259" w:lineRule="auto"/>
      <w:outlineLvl w:val="9"/>
    </w:pPr>
    <w:rPr>
      <w:rFonts w:eastAsiaTheme="majorEastAsia" w:cstheme="majorBidi"/>
      <w:b w:val="0"/>
      <w:bCs w:val="0"/>
      <w:color w:val="2F5597" w:themeColor="accent1" w:themeShade="BF"/>
      <w:kern w:val="0"/>
      <w:sz w:val="32"/>
    </w:rPr>
  </w:style>
  <w:style w:type="table" w:customStyle="1" w:styleId="52">
    <w:name w:val="Grid Table 3 Accent 5"/>
    <w:basedOn w:val="25"/>
    <w:uiPriority w:val="48"/>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bottom w:val="single" w:color="9CC2E5" w:themeColor="accent5" w:themeTint="99" w:sz="4" w:space="0"/>
        </w:tcBorders>
      </w:tcPr>
    </w:tblStylePr>
    <w:tblStylePr w:type="nwCell">
      <w:tcPr>
        <w:tcBorders>
          <w:bottom w:val="single" w:color="9CC2E5" w:themeColor="accent5" w:themeTint="99" w:sz="4" w:space="0"/>
        </w:tcBorders>
      </w:tcPr>
    </w:tblStylePr>
    <w:tblStylePr w:type="seCell">
      <w:tcPr>
        <w:tcBorders>
          <w:top w:val="single" w:color="9CC2E5" w:themeColor="accent5" w:themeTint="99" w:sz="4" w:space="0"/>
        </w:tcBorders>
      </w:tcPr>
    </w:tblStylePr>
    <w:tblStylePr w:type="swCell">
      <w:tcPr>
        <w:tcBorders>
          <w:top w:val="single" w:color="9CC2E5" w:themeColor="accent5" w:themeTint="99" w:sz="4" w:space="0"/>
        </w:tcBorders>
      </w:tcPr>
    </w:tblStylePr>
  </w:style>
  <w:style w:type="character" w:customStyle="1" w:styleId="53">
    <w:name w:val="正文文本缩进 2 字符"/>
    <w:basedOn w:val="27"/>
    <w:link w:val="14"/>
    <w:semiHidden/>
    <w:uiPriority w:val="99"/>
    <w:rPr>
      <w:rFonts w:eastAsia="仿宋"/>
      <w:sz w:val="24"/>
    </w:rPr>
  </w:style>
  <w:style w:type="character" w:customStyle="1" w:styleId="54">
    <w:name w:val="wx_search_keyword_wrap"/>
    <w:basedOn w:val="27"/>
    <w:uiPriority w:val="0"/>
  </w:style>
  <w:style w:type="character" w:customStyle="1" w:styleId="55">
    <w:name w:val="标题 4 字符"/>
    <w:basedOn w:val="27"/>
    <w:link w:val="5"/>
    <w:semiHidden/>
    <w:uiPriority w:val="9"/>
    <w:rPr>
      <w:rFonts w:asciiTheme="majorHAnsi" w:hAnsiTheme="majorHAnsi" w:eastAsiaTheme="majorEastAsia" w:cstheme="majorBidi"/>
      <w:b/>
      <w:bCs/>
      <w:sz w:val="28"/>
      <w:szCs w:val="28"/>
    </w:rPr>
  </w:style>
  <w:style w:type="table" w:customStyle="1" w:styleId="56">
    <w:name w:val="Grid Table 1 Light Accent 5"/>
    <w:basedOn w:val="25"/>
    <w:uiPriority w:val="46"/>
    <w:tblP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2" w:space="0"/>
        </w:tcBorders>
      </w:tcPr>
    </w:tblStylePr>
    <w:tblStylePr w:type="firstCol">
      <w:rPr>
        <w:b/>
        <w:bCs/>
      </w:rPr>
    </w:tblStylePr>
    <w:tblStylePr w:type="lastCol">
      <w:rPr>
        <w:b/>
        <w:bCs/>
      </w:rPr>
    </w:tblStylePr>
  </w:style>
  <w:style w:type="character" w:customStyle="1" w:styleId="57">
    <w:name w:val="标题 5 字符"/>
    <w:basedOn w:val="27"/>
    <w:link w:val="6"/>
    <w:uiPriority w:val="0"/>
    <w:rPr>
      <w:rFonts w:ascii="宋体" w:hAnsi="宋体" w:eastAsia="宋体" w:cs="Times New Roman"/>
      <w:b/>
      <w:bCs/>
      <w:kern w:val="0"/>
      <w:sz w:val="20"/>
      <w:szCs w:val="20"/>
    </w:rPr>
  </w:style>
  <w:style w:type="character" w:customStyle="1" w:styleId="58">
    <w:name w:val="正文文本缩进 字符"/>
    <w:basedOn w:val="27"/>
    <w:link w:val="10"/>
    <w:qFormat/>
    <w:uiPriority w:val="99"/>
    <w:rPr>
      <w:rFonts w:ascii="Calibri" w:hAnsi="Calibri" w:eastAsia="宋体" w:cs="Times New Roman"/>
      <w:szCs w:val="24"/>
    </w:rPr>
  </w:style>
  <w:style w:type="character" w:customStyle="1" w:styleId="59">
    <w:name w:val="副标题 字符"/>
    <w:basedOn w:val="27"/>
    <w:link w:val="18"/>
    <w:qFormat/>
    <w:uiPriority w:val="11"/>
    <w:rPr>
      <w:rFonts w:ascii="宋体" w:hAnsi="宋体" w:eastAsia="方正仿宋_GB2312" w:cs="Times New Roman"/>
      <w:b/>
      <w:bCs/>
      <w:kern w:val="0"/>
      <w:sz w:val="30"/>
      <w:szCs w:val="36"/>
    </w:rPr>
  </w:style>
  <w:style w:type="character" w:customStyle="1" w:styleId="60">
    <w:name w:val="HTML 预设格式 字符"/>
    <w:basedOn w:val="27"/>
    <w:link w:val="20"/>
    <w:qFormat/>
    <w:uiPriority w:val="0"/>
    <w:rPr>
      <w:rFonts w:ascii="宋体" w:hAnsi="宋体" w:eastAsia="宋体" w:cs="Times New Roman"/>
      <w:kern w:val="0"/>
      <w:sz w:val="24"/>
      <w:szCs w:val="24"/>
    </w:rPr>
  </w:style>
  <w:style w:type="character" w:customStyle="1" w:styleId="61">
    <w:name w:val="标题 字符"/>
    <w:basedOn w:val="27"/>
    <w:link w:val="22"/>
    <w:qFormat/>
    <w:uiPriority w:val="10"/>
    <w:rPr>
      <w:rFonts w:ascii="宋体" w:hAnsi="宋体" w:eastAsia="黑体" w:cs="Times New Roman"/>
      <w:bCs/>
      <w:kern w:val="44"/>
      <w:sz w:val="36"/>
      <w:szCs w:val="48"/>
    </w:rPr>
  </w:style>
  <w:style w:type="character" w:customStyle="1" w:styleId="62">
    <w:name w:val="正文文本首行缩进 字符"/>
    <w:basedOn w:val="38"/>
    <w:link w:val="23"/>
    <w:qFormat/>
    <w:uiPriority w:val="0"/>
    <w:rPr>
      <w:rFonts w:ascii="Calibri" w:hAnsi="Calibri" w:eastAsia="宋体" w:cs="Times New Roman"/>
      <w:szCs w:val="24"/>
    </w:rPr>
  </w:style>
  <w:style w:type="character" w:customStyle="1" w:styleId="63">
    <w:name w:val="正文文本首行缩进 2 字符"/>
    <w:basedOn w:val="58"/>
    <w:link w:val="24"/>
    <w:qFormat/>
    <w:uiPriority w:val="99"/>
    <w:rPr>
      <w:rFonts w:ascii="宋体" w:hAnsi="Calibri" w:eastAsia="宋体" w:cs="Times New Roman"/>
      <w:szCs w:val="20"/>
    </w:rPr>
  </w:style>
  <w:style w:type="paragraph" w:customStyle="1" w:styleId="64">
    <w:name w:val="reader-word-layer"/>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character" w:customStyle="1" w:styleId="65">
    <w:name w:val="font101"/>
    <w:basedOn w:val="27"/>
    <w:qFormat/>
    <w:uiPriority w:val="0"/>
    <w:rPr>
      <w:rFonts w:ascii="方正仿宋_GBK" w:hAnsi="方正仿宋_GBK" w:eastAsia="方正仿宋_GBK" w:cs="方正仿宋_GBK"/>
      <w:color w:val="000000"/>
      <w:sz w:val="24"/>
      <w:szCs w:val="24"/>
      <w:u w:val="none"/>
    </w:rPr>
  </w:style>
  <w:style w:type="paragraph" w:customStyle="1" w:styleId="66">
    <w:name w:val="_Style 16"/>
    <w:basedOn w:val="1"/>
    <w:qFormat/>
    <w:uiPriority w:val="0"/>
    <w:pPr>
      <w:widowControl/>
      <w:spacing w:after="160" w:line="240" w:lineRule="exact"/>
      <w:ind w:firstLine="0" w:firstLineChars="0"/>
      <w:jc w:val="left"/>
    </w:pPr>
    <w:rPr>
      <w:rFonts w:ascii="Arial" w:hAnsi="Arial" w:eastAsia="Times New Roman" w:cs="Verdana"/>
      <w:b/>
      <w:kern w:val="0"/>
      <w:szCs w:val="24"/>
      <w:lang w:eastAsia="en-US"/>
    </w:rPr>
  </w:style>
  <w:style w:type="character" w:customStyle="1" w:styleId="67">
    <w:name w:val="font91"/>
    <w:basedOn w:val="27"/>
    <w:qFormat/>
    <w:uiPriority w:val="0"/>
    <w:rPr>
      <w:rFonts w:hint="eastAsia" w:ascii="方正仿宋_GBK" w:hAnsi="方正仿宋_GBK" w:eastAsia="方正仿宋_GBK" w:cs="方正仿宋_GBK"/>
      <w:color w:val="000000"/>
      <w:sz w:val="24"/>
      <w:szCs w:val="24"/>
      <w:u w:val="none"/>
    </w:rPr>
  </w:style>
  <w:style w:type="character" w:customStyle="1" w:styleId="68">
    <w:name w:val="font111"/>
    <w:basedOn w:val="27"/>
    <w:qFormat/>
    <w:uiPriority w:val="0"/>
    <w:rPr>
      <w:rFonts w:hint="eastAsia" w:ascii="方正仿宋_GBK" w:hAnsi="方正仿宋_GBK" w:eastAsia="方正仿宋_GBK" w:cs="方正仿宋_GBK"/>
      <w:b/>
      <w:color w:val="000000"/>
      <w:sz w:val="24"/>
      <w:szCs w:val="24"/>
      <w:u w:val="none"/>
    </w:rPr>
  </w:style>
  <w:style w:type="character" w:customStyle="1" w:styleId="69">
    <w:name w:val="font51"/>
    <w:basedOn w:val="27"/>
    <w:qFormat/>
    <w:uiPriority w:val="0"/>
    <w:rPr>
      <w:rFonts w:ascii="仿宋" w:hAnsi="仿宋" w:eastAsia="仿宋" w:cs="仿宋"/>
      <w:color w:val="000000"/>
      <w:sz w:val="24"/>
      <w:szCs w:val="24"/>
      <w:u w:val="none"/>
    </w:rPr>
  </w:style>
  <w:style w:type="character" w:customStyle="1" w:styleId="70">
    <w:name w:val="font41"/>
    <w:basedOn w:val="27"/>
    <w:qFormat/>
    <w:uiPriority w:val="0"/>
    <w:rPr>
      <w:rFonts w:hint="eastAsia" w:ascii="仿宋" w:hAnsi="仿宋" w:eastAsia="仿宋" w:cs="仿宋"/>
      <w:b/>
      <w:color w:val="000000"/>
      <w:sz w:val="24"/>
      <w:szCs w:val="24"/>
      <w:u w:val="none"/>
    </w:rPr>
  </w:style>
  <w:style w:type="paragraph" w:customStyle="1" w:styleId="71">
    <w:name w:val="null3"/>
    <w:qFormat/>
    <w:uiPriority w:val="0"/>
    <w:rPr>
      <w:rFonts w:hint="eastAsia" w:ascii="Calibri" w:hAnsi="Calibri" w:eastAsia="宋体" w:cs="Times New Roman"/>
      <w:kern w:val="0"/>
      <w:sz w:val="20"/>
      <w:szCs w:val="20"/>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jpeg"/><Relationship Id="rId23" Type="http://schemas.openxmlformats.org/officeDocument/2006/relationships/image" Target="https://mmbiz.qpic.cn/sz_mmbiz_jpg/dWYcaaoxYeqOL7Sw33WHia3UgjbDOjoJp4NNVybsaqaTDWOTAiaB83r9G5ZOdQ1V8P3jZGYfiaqXLVGvic50Ad0K4g/640?wx_fmt=other%26wxfrom=5%26wx_lazy=1%26wx_co=1%26tp=webp" TargetMode="External"/><Relationship Id="rId22" Type="http://schemas.openxmlformats.org/officeDocument/2006/relationships/image" Target="media/image7.png"/><Relationship Id="rId21" Type="http://schemas.openxmlformats.org/officeDocument/2006/relationships/image" Target="http://upload.chengdu.cn/2024/1128/1732790948230.jpg" TargetMode="Externa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https://pic.rmb.bdstatic.com/bjh/news/5e963629d321dc6fdf86a9b3a8b82e7b.jpeg" TargetMode="External"/><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https://mmbiz.qpic.cn/mmbiz_png/JYB56EiadUlqFWz6Wh4Klia6DE7vtW5OOvhKhP1bplH5kFwAC55x0ltI5e773dTSjVCWibywnUdvlRbNIb2pEuVrg/640?wx_fmt=png%26from=appmsg%26tp=wxpic%26wxfrom=5%26wx_lazy=1%26wx_co=1" TargetMode="External"/><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8FB22-D9ED-4E42-96B4-6C7121E4702E}">
  <ds:schemaRefs/>
</ds:datastoreItem>
</file>

<file path=docProps/app.xml><?xml version="1.0" encoding="utf-8"?>
<Properties xmlns="http://schemas.openxmlformats.org/officeDocument/2006/extended-properties" xmlns:vt="http://schemas.openxmlformats.org/officeDocument/2006/docPropsVTypes">
  <Template>Normal</Template>
  <Pages>22</Pages>
  <Words>10046</Words>
  <Characters>10913</Characters>
  <Lines>114</Lines>
  <Paragraphs>32</Paragraphs>
  <TotalTime>257</TotalTime>
  <ScaleCrop>false</ScaleCrop>
  <LinksUpToDate>false</LinksUpToDate>
  <CharactersWithSpaces>11120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2024-12-08T08:04:00Z</dcterms:created>
  <dc:creator>微软中国</dc:creator>
  <cp:lastModifiedBy>含泪的微笑</cp:lastModifiedBy>
  <cp:lastPrinted>2024-09-04T06:25:00Z</cp:lastPrinted>
  <dcterms:modified xsi:type="dcterms:W3CDTF">2024-12-19T01:29:03Z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98757FFF9FA447E8B7917557479685A7_13</vt:lpwstr>
  </property>
</Properties>
</file>