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F39354">
      <w:pPr>
        <w:ind w:firstLine="562"/>
        <w:jc w:val="center"/>
        <w:rPr>
          <w:rFonts w:hint="eastAsia" w:ascii="仿宋" w:hAnsi="仿宋"/>
          <w:b/>
          <w:bCs/>
          <w:sz w:val="28"/>
          <w:szCs w:val="32"/>
        </w:rPr>
      </w:pPr>
      <w:bookmarkStart w:id="46" w:name="_GoBack"/>
      <w:bookmarkEnd w:id="46"/>
      <w:r>
        <w:rPr>
          <w:rFonts w:ascii="仿宋" w:hAnsi="仿宋"/>
          <w:b/>
          <w:bCs/>
          <w:sz w:val="28"/>
          <w:szCs w:val="32"/>
        </w:rPr>
        <w:drawing>
          <wp:anchor distT="0" distB="0" distL="114300" distR="114300" simplePos="0" relativeHeight="251659264" behindDoc="1" locked="0" layoutInCell="1" allowOverlap="1">
            <wp:simplePos x="0" y="0"/>
            <wp:positionH relativeFrom="column">
              <wp:posOffset>-1297305</wp:posOffset>
            </wp:positionH>
            <wp:positionV relativeFrom="paragraph">
              <wp:posOffset>-1408430</wp:posOffset>
            </wp:positionV>
            <wp:extent cx="7713980" cy="10906760"/>
            <wp:effectExtent l="0" t="0" r="1905" b="889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36432" cy="10938898"/>
                    </a:xfrm>
                    <a:prstGeom prst="rect">
                      <a:avLst/>
                    </a:prstGeom>
                  </pic:spPr>
                </pic:pic>
              </a:graphicData>
            </a:graphic>
          </wp:anchor>
        </w:drawing>
      </w:r>
    </w:p>
    <w:p w14:paraId="4D18DD8D">
      <w:pPr>
        <w:ind w:firstLine="562"/>
        <w:jc w:val="center"/>
        <w:rPr>
          <w:rFonts w:hint="eastAsia" w:ascii="仿宋" w:hAnsi="仿宋"/>
          <w:b/>
          <w:bCs/>
          <w:sz w:val="28"/>
          <w:szCs w:val="32"/>
        </w:rPr>
      </w:pPr>
    </w:p>
    <w:p w14:paraId="4A1E170D">
      <w:pPr>
        <w:ind w:firstLine="562"/>
        <w:jc w:val="center"/>
        <w:rPr>
          <w:rFonts w:hint="eastAsia" w:ascii="仿宋" w:hAnsi="仿宋"/>
          <w:b/>
          <w:bCs/>
          <w:sz w:val="28"/>
          <w:szCs w:val="32"/>
        </w:rPr>
      </w:pPr>
    </w:p>
    <w:p w14:paraId="6031C2C6">
      <w:pPr>
        <w:ind w:firstLine="562"/>
        <w:rPr>
          <w:rFonts w:hint="eastAsia" w:ascii="仿宋" w:hAnsi="仿宋"/>
          <w:b/>
          <w:bCs/>
          <w:sz w:val="28"/>
          <w:szCs w:val="32"/>
        </w:rPr>
      </w:pPr>
    </w:p>
    <w:p w14:paraId="243E238B">
      <w:pPr>
        <w:spacing w:line="1000" w:lineRule="exact"/>
        <w:ind w:firstLine="0" w:firstLineChars="0"/>
        <w:jc w:val="center"/>
        <w:rPr>
          <w:rFonts w:hint="eastAsia" w:ascii="仿宋" w:hAnsi="仿宋"/>
          <w:b/>
          <w:bCs/>
          <w:color w:val="FFFFFF" w:themeColor="background1"/>
          <w:sz w:val="72"/>
          <w:szCs w:val="72"/>
          <w14:textFill>
            <w14:solidFill>
              <w14:schemeClr w14:val="bg1"/>
            </w14:solidFill>
          </w14:textFill>
        </w:rPr>
      </w:pPr>
      <w:bookmarkStart w:id="0" w:name="_Hlk131690023"/>
    </w:p>
    <w:p w14:paraId="7028449B">
      <w:pPr>
        <w:spacing w:line="1000" w:lineRule="exact"/>
        <w:ind w:firstLine="0" w:firstLineChars="0"/>
        <w:jc w:val="center"/>
        <w:rPr>
          <w:rFonts w:hint="eastAsia" w:ascii="微软雅黑" w:hAnsi="微软雅黑" w:eastAsia="微软雅黑"/>
          <w:b/>
          <w:bCs/>
          <w:color w:val="FFFFFF" w:themeColor="background1"/>
          <w:sz w:val="72"/>
          <w:szCs w:val="72"/>
          <w14:textFill>
            <w14:solidFill>
              <w14:schemeClr w14:val="bg1"/>
            </w14:solidFill>
          </w14:textFill>
        </w:rPr>
      </w:pPr>
      <w:r>
        <w:rPr>
          <w:rFonts w:hint="eastAsia" w:ascii="微软雅黑" w:hAnsi="微软雅黑" w:eastAsia="微软雅黑"/>
          <w:b/>
          <w:bCs/>
          <w:color w:val="FFFFFF" w:themeColor="background1"/>
          <w:sz w:val="72"/>
          <w:szCs w:val="72"/>
          <w14:textFill>
            <w14:solidFill>
              <w14:schemeClr w14:val="bg1"/>
            </w14:solidFill>
          </w14:textFill>
        </w:rPr>
        <w:t>中国</w:t>
      </w:r>
      <w:r>
        <w:rPr>
          <w:rFonts w:ascii="微软雅黑" w:hAnsi="微软雅黑" w:eastAsia="微软雅黑"/>
          <w:b/>
          <w:bCs/>
          <w:color w:val="FFFFFF" w:themeColor="background1"/>
          <w:sz w:val="72"/>
          <w:szCs w:val="72"/>
          <w14:textFill>
            <w14:solidFill>
              <w14:schemeClr w14:val="bg1"/>
            </w14:solidFill>
          </w14:textFill>
        </w:rPr>
        <w:t>城市轨道交通</w:t>
      </w:r>
    </w:p>
    <w:p w14:paraId="07C8AD2C">
      <w:pPr>
        <w:spacing w:line="1000" w:lineRule="exact"/>
        <w:ind w:firstLine="0" w:firstLineChars="0"/>
        <w:jc w:val="center"/>
        <w:rPr>
          <w:rFonts w:hint="eastAsia" w:ascii="微软雅黑" w:hAnsi="微软雅黑" w:eastAsia="微软雅黑"/>
          <w:b/>
          <w:bCs/>
          <w:color w:val="FFFFFF" w:themeColor="background1"/>
          <w:sz w:val="72"/>
          <w:szCs w:val="72"/>
          <w14:textFill>
            <w14:solidFill>
              <w14:schemeClr w14:val="bg1"/>
            </w14:solidFill>
          </w14:textFill>
        </w:rPr>
      </w:pPr>
      <w:r>
        <w:rPr>
          <w:rFonts w:ascii="微软雅黑" w:hAnsi="微软雅黑" w:eastAsia="微软雅黑"/>
          <w:b/>
          <w:bCs/>
          <w:color w:val="FFFFFF" w:themeColor="background1"/>
          <w:sz w:val="72"/>
          <w:szCs w:val="72"/>
          <w14:textFill>
            <w14:solidFill>
              <w14:schemeClr w14:val="bg1"/>
            </w14:solidFill>
          </w14:textFill>
        </w:rPr>
        <w:t>TOD监测月报</w:t>
      </w:r>
    </w:p>
    <w:p w14:paraId="675F60AE">
      <w:pPr>
        <w:spacing w:line="1000" w:lineRule="exact"/>
        <w:ind w:firstLine="0" w:firstLineChars="0"/>
        <w:jc w:val="center"/>
        <w:rPr>
          <w:rFonts w:hint="eastAsia" w:ascii="微软雅黑" w:hAnsi="微软雅黑" w:eastAsia="微软雅黑"/>
          <w:color w:val="FFFFFF" w:themeColor="background1"/>
          <w:sz w:val="32"/>
          <w:szCs w:val="32"/>
          <w14:textFill>
            <w14:solidFill>
              <w14:schemeClr w14:val="bg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1474" w:footer="992" w:gutter="0"/>
          <w:pgNumType w:start="1"/>
          <w:cols w:space="425" w:num="1"/>
          <w:titlePg/>
          <w:docGrid w:type="lines" w:linePitch="326" w:charSpace="0"/>
        </w:sectPr>
      </w:pPr>
      <w:r>
        <w:rPr>
          <w:rFonts w:ascii="微软雅黑" w:hAnsi="微软雅黑" w:eastAsia="微软雅黑"/>
          <w:color w:val="FFFFFF" w:themeColor="background1"/>
          <w:sz w:val="32"/>
          <w:szCs w:val="32"/>
          <w14:textFill>
            <w14:solidFill>
              <w14:schemeClr w14:val="bg1"/>
            </w14:solidFill>
          </w14:textFill>
        </w:rPr>
        <w:t>（</w:t>
      </w:r>
      <w:bookmarkEnd w:id="0"/>
      <w:r>
        <w:rPr>
          <w:rFonts w:ascii="微软雅黑" w:hAnsi="微软雅黑" w:eastAsia="微软雅黑"/>
          <w:color w:val="FFFFFF" w:themeColor="background1"/>
          <w:sz w:val="32"/>
          <w:szCs w:val="32"/>
          <w14:textFill>
            <w14:solidFill>
              <w14:schemeClr w14:val="bg1"/>
            </w14:solidFill>
          </w14:textFill>
        </w:rPr>
        <w:t>2024年</w:t>
      </w:r>
      <w:r>
        <w:rPr>
          <w:rFonts w:hint="eastAsia" w:ascii="微软雅黑" w:hAnsi="微软雅黑" w:eastAsia="微软雅黑"/>
          <w:color w:val="FFFFFF" w:themeColor="background1"/>
          <w:sz w:val="32"/>
          <w:szCs w:val="32"/>
          <w14:textFill>
            <w14:solidFill>
              <w14:schemeClr w14:val="bg1"/>
            </w14:solidFill>
          </w14:textFill>
        </w:rPr>
        <w:t>12</w:t>
      </w:r>
      <w:r>
        <w:rPr>
          <w:rFonts w:ascii="微软雅黑" w:hAnsi="微软雅黑" w:eastAsia="微软雅黑"/>
          <w:color w:val="FFFFFF" w:themeColor="background1"/>
          <w:sz w:val="32"/>
          <w:szCs w:val="32"/>
          <w14:textFill>
            <w14:solidFill>
              <w14:schemeClr w14:val="bg1"/>
            </w14:solidFill>
          </w14:textFill>
        </w:rPr>
        <w:t>月）</w:t>
      </w:r>
    </w:p>
    <w:sdt>
      <w:sdtPr>
        <w:rPr>
          <w:rFonts w:ascii="仿宋" w:hAnsi="仿宋" w:eastAsia="仿宋" w:cstheme="minorBidi"/>
          <w:b/>
          <w:bCs/>
          <w:szCs w:val="22"/>
        </w:rPr>
        <w:id w:val="1723481355"/>
        <w:docPartObj>
          <w:docPartGallery w:val="Table of Contents"/>
          <w:docPartUnique/>
        </w:docPartObj>
      </w:sdtPr>
      <w:sdtEndPr>
        <w:rPr>
          <w:rFonts w:ascii="仿宋" w:hAnsi="仿宋" w:eastAsia="仿宋" w:cstheme="minorBidi"/>
          <w:b w:val="0"/>
          <w:bCs w:val="0"/>
          <w:szCs w:val="22"/>
          <w:lang w:val="zh-CN"/>
        </w:rPr>
      </w:sdtEndPr>
      <w:sdtContent>
        <w:p w14:paraId="62E3343E">
          <w:pPr>
            <w:pStyle w:val="42"/>
            <w:ind w:firstLine="482"/>
            <w:jc w:val="center"/>
            <w:rPr>
              <w:rStyle w:val="49"/>
              <w:rFonts w:hint="eastAsia" w:asciiTheme="minorEastAsia" w:hAnsiTheme="minorEastAsia" w:eastAsiaTheme="minorEastAsia"/>
            </w:rPr>
          </w:pPr>
          <w:bookmarkStart w:id="1" w:name="_Toc166169574"/>
          <w:bookmarkStart w:id="2" w:name="_Toc166095659"/>
          <w:bookmarkStart w:id="3" w:name="_Toc166311268"/>
          <w:r>
            <w:rPr>
              <w:rStyle w:val="49"/>
              <w:rFonts w:asciiTheme="minorEastAsia" w:hAnsiTheme="minorEastAsia" w:eastAsiaTheme="minorEastAsia"/>
            </w:rPr>
            <w:t>目录</w:t>
          </w:r>
          <w:bookmarkEnd w:id="1"/>
          <w:bookmarkEnd w:id="2"/>
          <w:bookmarkEnd w:id="3"/>
        </w:p>
        <w:p w14:paraId="46C63FDE">
          <w:pPr>
            <w:pStyle w:val="17"/>
            <w:tabs>
              <w:tab w:val="right" w:leader="dot" w:pos="8296"/>
            </w:tabs>
            <w:rPr>
              <w:rFonts w:hint="eastAsia" w:cstheme="minorBidi"/>
              <w:kern w:val="2"/>
              <w:szCs w:val="24"/>
              <w14:ligatures w14:val="standardContextual"/>
            </w:rPr>
          </w:pPr>
          <w:r>
            <w:rPr>
              <w:rFonts w:ascii="仿宋" w:hAnsi="仿宋" w:eastAsia="仿宋"/>
            </w:rPr>
            <w:fldChar w:fldCharType="begin"/>
          </w:r>
          <w:r>
            <w:rPr>
              <w:rFonts w:ascii="仿宋" w:hAnsi="仿宋" w:eastAsia="仿宋"/>
            </w:rPr>
            <w:instrText xml:space="preserve"> TOC \o "1-3" \h \z \u </w:instrText>
          </w:r>
          <w:r>
            <w:rPr>
              <w:rFonts w:ascii="仿宋" w:hAnsi="仿宋" w:eastAsia="仿宋"/>
            </w:rPr>
            <w:fldChar w:fldCharType="separate"/>
          </w:r>
          <w:r>
            <w:fldChar w:fldCharType="begin"/>
          </w:r>
          <w:r>
            <w:instrText xml:space="preserve"> HYPERLINK \l "_Toc187665037" </w:instrText>
          </w:r>
          <w:r>
            <w:fldChar w:fldCharType="separate"/>
          </w:r>
          <w:r>
            <w:rPr>
              <w:rStyle w:val="30"/>
              <w:rFonts w:hint="eastAsia" w:ascii="仿宋" w:hAnsi="仿宋"/>
              <w:kern w:val="44"/>
            </w:rPr>
            <w:t>摘要</w:t>
          </w:r>
          <w:r>
            <w:rPr>
              <w:rFonts w:hint="eastAsia"/>
            </w:rPr>
            <w:tab/>
          </w:r>
          <w:r>
            <w:rPr>
              <w:rFonts w:hint="eastAsia"/>
            </w:rPr>
            <w:fldChar w:fldCharType="begin"/>
          </w:r>
          <w:r>
            <w:rPr>
              <w:rFonts w:hint="eastAsia"/>
            </w:rPr>
            <w:instrText xml:space="preserve"> </w:instrText>
          </w:r>
          <w:r>
            <w:instrText xml:space="preserve">PAGEREF _Toc187665037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3E8CF92C">
          <w:pPr>
            <w:pStyle w:val="17"/>
            <w:tabs>
              <w:tab w:val="right" w:leader="dot" w:pos="8296"/>
            </w:tabs>
            <w:rPr>
              <w:rFonts w:hint="eastAsia" w:cstheme="minorBidi"/>
              <w:kern w:val="2"/>
              <w:szCs w:val="24"/>
              <w14:ligatures w14:val="standardContextual"/>
            </w:rPr>
          </w:pPr>
          <w:r>
            <w:fldChar w:fldCharType="begin"/>
          </w:r>
          <w:r>
            <w:instrText xml:space="preserve"> HYPERLINK \l "_Toc187665038" </w:instrText>
          </w:r>
          <w:r>
            <w:fldChar w:fldCharType="separate"/>
          </w:r>
          <w:r>
            <w:rPr>
              <w:rStyle w:val="30"/>
              <w:rFonts w:hint="eastAsia" w:ascii="黑体" w:hAnsi="黑体" w:eastAsia="黑体"/>
              <w:kern w:val="44"/>
            </w:rPr>
            <w:t>一、政策动态</w:t>
          </w:r>
          <w:r>
            <w:rPr>
              <w:rFonts w:hint="eastAsia"/>
            </w:rPr>
            <w:tab/>
          </w:r>
          <w:r>
            <w:rPr>
              <w:rFonts w:hint="eastAsia"/>
            </w:rPr>
            <w:fldChar w:fldCharType="begin"/>
          </w:r>
          <w:r>
            <w:rPr>
              <w:rFonts w:hint="eastAsia"/>
            </w:rPr>
            <w:instrText xml:space="preserve"> </w:instrText>
          </w:r>
          <w:r>
            <w:instrText xml:space="preserve">PAGEREF _Toc187665038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413FD870">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"_Toc187665039" </w:instrText>
          </w:r>
          <w:r>
            <w:fldChar w:fldCharType="separate"/>
          </w:r>
          <w:r>
            <w:rPr>
              <w:rStyle w:val="30"/>
              <w:rFonts w:hint="eastAsia" w:ascii="仿宋" w:hAnsi="仿宋" w:cs="Arial"/>
              <w:lang w:bidi="ar"/>
            </w:rPr>
            <w:t>1.</w:t>
          </w:r>
          <w:r>
            <w:rPr>
              <w:rFonts w:hint="eastAsia" w:cstheme="minorBidi"/>
              <w:kern w:val="2"/>
              <w:szCs w:val="24"/>
              <w14:ligatures w14:val="standardContextual"/>
            </w:rPr>
            <w:tab/>
          </w:r>
          <w:r>
            <w:rPr>
              <w:rStyle w:val="30"/>
              <w:rFonts w:hint="eastAsia" w:ascii="仿宋" w:hAnsi="仿宋" w:cs="Arial"/>
              <w:shd w:val="clear" w:color="auto" w:fill="FFFFFF"/>
              <w:lang w:bidi="ar"/>
            </w:rPr>
            <w:t>《南宁市TOD规划设计导则》发布，引导构建站城融合空间</w:t>
          </w:r>
          <w:r>
            <w:rPr>
              <w:rFonts w:hint="eastAsia"/>
            </w:rPr>
            <w:tab/>
          </w:r>
          <w:r>
            <w:rPr>
              <w:rFonts w:hint="eastAsia"/>
            </w:rPr>
            <w:fldChar w:fldCharType="begin"/>
          </w:r>
          <w:r>
            <w:rPr>
              <w:rFonts w:hint="eastAsia"/>
            </w:rPr>
            <w:instrText xml:space="preserve"> </w:instrText>
          </w:r>
          <w:r>
            <w:instrText xml:space="preserve">PAGEREF _Toc187665039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495F1728">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"_Toc187665040" </w:instrText>
          </w:r>
          <w:r>
            <w:fldChar w:fldCharType="separate"/>
          </w:r>
          <w:r>
            <w:rPr>
              <w:rStyle w:val="30"/>
              <w:rFonts w:hint="eastAsia" w:ascii="仿宋" w:hAnsi="仿宋" w:cs="Arial"/>
              <w:lang w:bidi="ar"/>
            </w:rPr>
            <w:t>2.</w:t>
          </w:r>
          <w:r>
            <w:rPr>
              <w:rFonts w:hint="eastAsia" w:cstheme="minorBidi"/>
              <w:kern w:val="2"/>
              <w:szCs w:val="24"/>
              <w14:ligatures w14:val="standardContextual"/>
            </w:rPr>
            <w:tab/>
          </w:r>
          <w:r>
            <w:rPr>
              <w:rStyle w:val="30"/>
              <w:rFonts w:hint="eastAsia" w:ascii="仿宋" w:hAnsi="仿宋" w:cs="Arial"/>
              <w:shd w:val="clear" w:color="auto" w:fill="FFFFFF"/>
              <w:lang w:bidi="ar"/>
            </w:rPr>
            <w:t>《昆明市详细规划技术准则（试行）》正式实施，充分践行TOD开发理念</w:t>
          </w:r>
          <w:r>
            <w:rPr>
              <w:rFonts w:hint="eastAsia"/>
            </w:rPr>
            <w:tab/>
          </w:r>
          <w:r>
            <w:rPr>
              <w:rFonts w:hint="eastAsia"/>
            </w:rPr>
            <w:fldChar w:fldCharType="begin"/>
          </w:r>
          <w:r>
            <w:rPr>
              <w:rFonts w:hint="eastAsia"/>
            </w:rPr>
            <w:instrText xml:space="preserve"> </w:instrText>
          </w:r>
          <w:r>
            <w:instrText xml:space="preserve">PAGEREF _Toc187665040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60082488">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"_Toc187665041" </w:instrText>
          </w:r>
          <w:r>
            <w:fldChar w:fldCharType="separate"/>
          </w:r>
          <w:r>
            <w:rPr>
              <w:rStyle w:val="30"/>
              <w:rFonts w:hint="eastAsia" w:ascii="仿宋" w:hAnsi="仿宋" w:cs="Arial"/>
              <w:lang w:bidi="ar"/>
            </w:rPr>
            <w:t>3.</w:t>
          </w:r>
          <w:r>
            <w:rPr>
              <w:rFonts w:hint="eastAsia" w:cstheme="minorBidi"/>
              <w:kern w:val="2"/>
              <w:szCs w:val="24"/>
              <w14:ligatures w14:val="standardContextual"/>
            </w:rPr>
            <w:tab/>
          </w:r>
          <w:r>
            <w:rPr>
              <w:rStyle w:val="30"/>
              <w:rFonts w:hint="eastAsia" w:ascii="仿宋" w:hAnsi="仿宋" w:cs="Arial"/>
              <w:shd w:val="clear" w:color="auto" w:fill="FFFFFF"/>
              <w:lang w:bidi="ar"/>
            </w:rPr>
            <w:t>《郑州市城市轨道交通线网规划（2021—2035年）》最新公示</w:t>
          </w:r>
          <w:r>
            <w:rPr>
              <w:rFonts w:hint="eastAsia"/>
            </w:rPr>
            <w:tab/>
          </w:r>
          <w:r>
            <w:rPr>
              <w:rFonts w:hint="eastAsia"/>
            </w:rPr>
            <w:fldChar w:fldCharType="begin"/>
          </w:r>
          <w:r>
            <w:rPr>
              <w:rFonts w:hint="eastAsia"/>
            </w:rPr>
            <w:instrText xml:space="preserve"> </w:instrText>
          </w:r>
          <w:r>
            <w:instrText xml:space="preserve">PAGEREF _Toc187665041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336E6ECB">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"_Toc187665042" </w:instrText>
          </w:r>
          <w:r>
            <w:fldChar w:fldCharType="separate"/>
          </w:r>
          <w:r>
            <w:rPr>
              <w:rStyle w:val="30"/>
              <w:rFonts w:hint="eastAsia" w:ascii="仿宋" w:hAnsi="仿宋" w:cs="Arial"/>
              <w:lang w:bidi="ar"/>
            </w:rPr>
            <w:t>4.</w:t>
          </w:r>
          <w:r>
            <w:rPr>
              <w:rFonts w:hint="eastAsia" w:cstheme="minorBidi"/>
              <w:kern w:val="2"/>
              <w:szCs w:val="24"/>
              <w14:ligatures w14:val="standardContextual"/>
            </w:rPr>
            <w:tab/>
          </w:r>
          <w:r>
            <w:rPr>
              <w:rStyle w:val="30"/>
              <w:rFonts w:hint="eastAsia" w:ascii="仿宋" w:hAnsi="仿宋" w:cs="Arial"/>
              <w:shd w:val="clear" w:color="auto" w:fill="FFFFFF"/>
              <w:lang w:bidi="ar"/>
            </w:rPr>
            <w:t>《交通强国山东示范区建设方案（2025—2035年）》印发实施</w:t>
          </w:r>
          <w:r>
            <w:rPr>
              <w:rFonts w:hint="eastAsia"/>
            </w:rPr>
            <w:tab/>
          </w:r>
          <w:r>
            <w:rPr>
              <w:rFonts w:hint="eastAsia"/>
            </w:rPr>
            <w:fldChar w:fldCharType="begin"/>
          </w:r>
          <w:r>
            <w:rPr>
              <w:rFonts w:hint="eastAsia"/>
            </w:rPr>
            <w:instrText xml:space="preserve"> </w:instrText>
          </w:r>
          <w:r>
            <w:instrText xml:space="preserve">PAGEREF _Toc187665042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2E9D1F1D">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"_Toc187665043" </w:instrText>
          </w:r>
          <w:r>
            <w:fldChar w:fldCharType="separate"/>
          </w:r>
          <w:r>
            <w:rPr>
              <w:rStyle w:val="30"/>
              <w:rFonts w:hint="eastAsia" w:ascii="仿宋" w:hAnsi="仿宋" w:cs="Arial"/>
              <w:lang w:bidi="ar"/>
            </w:rPr>
            <w:t>5.</w:t>
          </w:r>
          <w:r>
            <w:rPr>
              <w:rFonts w:hint="eastAsia" w:cstheme="minorBidi"/>
              <w:kern w:val="2"/>
              <w:szCs w:val="24"/>
              <w14:ligatures w14:val="standardContextual"/>
            </w:rPr>
            <w:tab/>
          </w:r>
          <w:r>
            <w:rPr>
              <w:rStyle w:val="30"/>
              <w:rFonts w:hint="eastAsia" w:ascii="仿宋" w:hAnsi="仿宋" w:cs="Arial"/>
              <w:shd w:val="clear" w:color="auto" w:fill="FFFFFF"/>
              <w:lang w:bidi="ar"/>
            </w:rPr>
            <w:t>中办、国办鼓励和引导社会资本依法依规参与交通基础设施建设融资</w:t>
          </w:r>
          <w:r>
            <w:rPr>
              <w:rFonts w:hint="eastAsia"/>
            </w:rPr>
            <w:tab/>
          </w:r>
          <w:r>
            <w:rPr>
              <w:rFonts w:hint="eastAsia"/>
            </w:rPr>
            <w:fldChar w:fldCharType="begin"/>
          </w:r>
          <w:r>
            <w:rPr>
              <w:rFonts w:hint="eastAsia"/>
            </w:rPr>
            <w:instrText xml:space="preserve"> </w:instrText>
          </w:r>
          <w:r>
            <w:instrText xml:space="preserve">PAGEREF _Toc187665043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5CBF6C4E">
          <w:pPr>
            <w:pStyle w:val="17"/>
            <w:tabs>
              <w:tab w:val="right" w:leader="dot" w:pos="8296"/>
            </w:tabs>
            <w:rPr>
              <w:rFonts w:hint="eastAsia" w:cstheme="minorBidi"/>
              <w:kern w:val="2"/>
              <w:szCs w:val="24"/>
              <w14:ligatures w14:val="standardContextual"/>
            </w:rPr>
          </w:pPr>
          <w:r>
            <w:fldChar w:fldCharType="begin"/>
          </w:r>
          <w:r>
            <w:instrText xml:space="preserve"> HYPERLINK \l "_Toc187665044" </w:instrText>
          </w:r>
          <w:r>
            <w:fldChar w:fldCharType="separate"/>
          </w:r>
          <w:r>
            <w:rPr>
              <w:rStyle w:val="30"/>
              <w:rFonts w:hint="eastAsia" w:ascii="黑体" w:hAnsi="黑体" w:eastAsia="黑体"/>
              <w:kern w:val="44"/>
            </w:rPr>
            <w:t>二、行业动态</w:t>
          </w:r>
          <w:r>
            <w:rPr>
              <w:rFonts w:hint="eastAsia"/>
            </w:rPr>
            <w:tab/>
          </w:r>
          <w:r>
            <w:rPr>
              <w:rFonts w:hint="eastAsia"/>
            </w:rPr>
            <w:fldChar w:fldCharType="begin"/>
          </w:r>
          <w:r>
            <w:rPr>
              <w:rFonts w:hint="eastAsia"/>
            </w:rPr>
            <w:instrText xml:space="preserve"> </w:instrText>
          </w:r>
          <w:r>
            <w:instrText xml:space="preserve">PAGEREF _Toc187665044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36AAE532">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"_Toc187665045" </w:instrText>
          </w:r>
          <w:r>
            <w:fldChar w:fldCharType="separate"/>
          </w:r>
          <w:r>
            <w:rPr>
              <w:rStyle w:val="30"/>
              <w:rFonts w:hint="eastAsia" w:ascii="仿宋" w:hAnsi="仿宋" w:cs="Arial"/>
              <w:lang w:bidi="ar"/>
            </w:rPr>
            <w:t>1.</w:t>
          </w:r>
          <w:r>
            <w:rPr>
              <w:rFonts w:hint="eastAsia" w:cstheme="minorBidi"/>
              <w:kern w:val="2"/>
              <w:szCs w:val="24"/>
              <w14:ligatures w14:val="standardContextual"/>
            </w:rPr>
            <w:tab/>
          </w:r>
          <w:r>
            <w:rPr>
              <w:rStyle w:val="30"/>
              <w:rFonts w:hint="eastAsia" w:ascii="仿宋" w:hAnsi="仿宋" w:cs="Arial"/>
              <w:shd w:val="clear" w:color="auto" w:fill="FFFFFF"/>
              <w:lang w:bidi="ar"/>
            </w:rPr>
            <w:t>交通强国山东示范区建设推进会议召开，建设</w:t>
          </w:r>
          <w:r>
            <w:rPr>
              <w:rStyle w:val="30"/>
              <w:rFonts w:hint="eastAsia" w:ascii="仿宋" w:hAnsi="仿宋"/>
              <w:lang w:bidi="en-US"/>
            </w:rPr>
            <w:t>“轨道上的山东半岛城市群”</w:t>
          </w:r>
          <w:r>
            <w:rPr>
              <w:rFonts w:hint="eastAsia"/>
            </w:rPr>
            <w:tab/>
          </w:r>
          <w:r>
            <w:rPr>
              <w:rFonts w:hint="eastAsia"/>
            </w:rPr>
            <w:fldChar w:fldCharType="begin"/>
          </w:r>
          <w:r>
            <w:rPr>
              <w:rFonts w:hint="eastAsia"/>
            </w:rPr>
            <w:instrText xml:space="preserve"> </w:instrText>
          </w:r>
          <w:r>
            <w:instrText xml:space="preserve">PAGEREF _Toc187665045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5527887A">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"_Toc187665046" </w:instrText>
          </w:r>
          <w:r>
            <w:fldChar w:fldCharType="separate"/>
          </w:r>
          <w:r>
            <w:rPr>
              <w:rStyle w:val="30"/>
              <w:rFonts w:hint="eastAsia" w:ascii="仿宋" w:hAnsi="仿宋" w:cs="Arial"/>
              <w:lang w:bidi="ar"/>
            </w:rPr>
            <w:t>2.</w:t>
          </w:r>
          <w:r>
            <w:rPr>
              <w:rFonts w:hint="eastAsia" w:cstheme="minorBidi"/>
              <w:kern w:val="2"/>
              <w:szCs w:val="24"/>
              <w14:ligatures w14:val="standardContextual"/>
            </w:rPr>
            <w:tab/>
          </w:r>
          <w:r>
            <w:rPr>
              <w:rStyle w:val="30"/>
              <w:rFonts w:hint="eastAsia" w:ascii="仿宋" w:hAnsi="仿宋" w:cs="Arial"/>
              <w:shd w:val="clear" w:color="auto" w:fill="FFFFFF"/>
              <w:lang w:bidi="ar"/>
            </w:rPr>
            <w:t>湛江东站规划站城一体化开发</w:t>
          </w:r>
          <w:r>
            <w:rPr>
              <w:rFonts w:hint="eastAsia"/>
            </w:rPr>
            <w:tab/>
          </w:r>
          <w:r>
            <w:rPr>
              <w:rFonts w:hint="eastAsia"/>
            </w:rPr>
            <w:fldChar w:fldCharType="begin"/>
          </w:r>
          <w:r>
            <w:rPr>
              <w:rFonts w:hint="eastAsia"/>
            </w:rPr>
            <w:instrText xml:space="preserve"> </w:instrText>
          </w:r>
          <w:r>
            <w:instrText xml:space="preserve">PAGEREF _Toc187665046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68AB9DF0">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"_Toc187665047" </w:instrText>
          </w:r>
          <w:r>
            <w:fldChar w:fldCharType="separate"/>
          </w:r>
          <w:r>
            <w:rPr>
              <w:rStyle w:val="30"/>
              <w:rFonts w:hint="eastAsia" w:ascii="仿宋" w:hAnsi="仿宋" w:cs="Arial"/>
              <w:lang w:bidi="ar"/>
            </w:rPr>
            <w:t>3.</w:t>
          </w:r>
          <w:r>
            <w:rPr>
              <w:rFonts w:hint="eastAsia" w:cstheme="minorBidi"/>
              <w:kern w:val="2"/>
              <w:szCs w:val="24"/>
              <w14:ligatures w14:val="standardContextual"/>
            </w:rPr>
            <w:tab/>
          </w:r>
          <w:r>
            <w:rPr>
              <w:rStyle w:val="30"/>
              <w:rFonts w:hint="eastAsia" w:ascii="仿宋" w:hAnsi="仿宋" w:cs="Arial"/>
              <w:shd w:val="clear" w:color="auto" w:fill="FFFFFF"/>
              <w:lang w:bidi="ar"/>
            </w:rPr>
            <w:t>《温州市轨道交通场站一体化城市设计导则》通过中间成果审查</w:t>
          </w:r>
          <w:r>
            <w:rPr>
              <w:rFonts w:hint="eastAsia"/>
            </w:rPr>
            <w:tab/>
          </w:r>
          <w:r>
            <w:rPr>
              <w:rFonts w:hint="eastAsia"/>
            </w:rPr>
            <w:fldChar w:fldCharType="begin"/>
          </w:r>
          <w:r>
            <w:rPr>
              <w:rFonts w:hint="eastAsia"/>
            </w:rPr>
            <w:instrText xml:space="preserve"> </w:instrText>
          </w:r>
          <w:r>
            <w:instrText xml:space="preserve">PAGEREF _Toc187665047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1AD6F66D">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"_Toc187665048" </w:instrText>
          </w:r>
          <w:r>
            <w:fldChar w:fldCharType="separate"/>
          </w:r>
          <w:r>
            <w:rPr>
              <w:rStyle w:val="30"/>
              <w:rFonts w:hint="eastAsia" w:ascii="仿宋" w:hAnsi="仿宋" w:cs="Arial"/>
              <w:lang w:bidi="ar"/>
            </w:rPr>
            <w:t>4.</w:t>
          </w:r>
          <w:r>
            <w:rPr>
              <w:rFonts w:hint="eastAsia" w:cstheme="minorBidi"/>
              <w:kern w:val="2"/>
              <w:szCs w:val="24"/>
              <w14:ligatures w14:val="standardContextual"/>
            </w:rPr>
            <w:tab/>
          </w:r>
          <w:r>
            <w:rPr>
              <w:rStyle w:val="30"/>
              <w:rFonts w:hint="eastAsia" w:ascii="仿宋" w:hAnsi="仿宋" w:cs="Arial"/>
              <w:shd w:val="clear" w:color="auto" w:fill="FFFFFF"/>
              <w:lang w:bidi="ar"/>
            </w:rPr>
            <w:t>台州湾新区的云湖片区规划公示，未来会在地铁上盖住宅商业等物业</w:t>
          </w:r>
          <w:r>
            <w:rPr>
              <w:rFonts w:hint="eastAsia"/>
            </w:rPr>
            <w:tab/>
          </w:r>
          <w:r>
            <w:rPr>
              <w:rFonts w:hint="eastAsia"/>
            </w:rPr>
            <w:fldChar w:fldCharType="begin"/>
          </w:r>
          <w:r>
            <w:rPr>
              <w:rFonts w:hint="eastAsia"/>
            </w:rPr>
            <w:instrText xml:space="preserve"> </w:instrText>
          </w:r>
          <w:r>
            <w:instrText xml:space="preserve">PAGEREF _Toc187665048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43B87F33">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"_Toc187665049" </w:instrText>
          </w:r>
          <w:r>
            <w:fldChar w:fldCharType="separate"/>
          </w:r>
          <w:r>
            <w:rPr>
              <w:rStyle w:val="30"/>
              <w:rFonts w:hint="eastAsia" w:ascii="仿宋" w:hAnsi="仿宋" w:cs="Arial"/>
              <w:lang w:bidi="ar"/>
            </w:rPr>
            <w:t>5.</w:t>
          </w:r>
          <w:r>
            <w:rPr>
              <w:rFonts w:hint="eastAsia" w:cstheme="minorBidi"/>
              <w:kern w:val="2"/>
              <w:szCs w:val="24"/>
              <w14:ligatures w14:val="standardContextual"/>
            </w:rPr>
            <w:tab/>
          </w:r>
          <w:r>
            <w:rPr>
              <w:rStyle w:val="30"/>
              <w:rFonts w:hint="eastAsia" w:ascii="仿宋" w:hAnsi="仿宋" w:cs="Arial"/>
              <w:shd w:val="clear" w:color="auto" w:fill="FFFFFF"/>
              <w:lang w:bidi="ar"/>
            </w:rPr>
            <w:t>北京市丰台加快重点功能区建设，促进产城融合</w:t>
          </w:r>
          <w:r>
            <w:rPr>
              <w:rFonts w:hint="eastAsia"/>
            </w:rPr>
            <w:tab/>
          </w:r>
          <w:r>
            <w:rPr>
              <w:rFonts w:hint="eastAsia"/>
            </w:rPr>
            <w:fldChar w:fldCharType="begin"/>
          </w:r>
          <w:r>
            <w:rPr>
              <w:rFonts w:hint="eastAsia"/>
            </w:rPr>
            <w:instrText xml:space="preserve"> </w:instrText>
          </w:r>
          <w:r>
            <w:instrText xml:space="preserve">PAGEREF _Toc187665049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17F4ABEF">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"_Toc187665050" </w:instrText>
          </w:r>
          <w:r>
            <w:fldChar w:fldCharType="separate"/>
          </w:r>
          <w:r>
            <w:rPr>
              <w:rStyle w:val="30"/>
              <w:rFonts w:hint="eastAsia" w:ascii="仿宋" w:hAnsi="仿宋" w:cs="Arial"/>
              <w:lang w:bidi="ar"/>
            </w:rPr>
            <w:t>6.</w:t>
          </w:r>
          <w:r>
            <w:rPr>
              <w:rFonts w:hint="eastAsia" w:cstheme="minorBidi"/>
              <w:kern w:val="2"/>
              <w:szCs w:val="24"/>
              <w14:ligatures w14:val="standardContextual"/>
            </w:rPr>
            <w:tab/>
          </w:r>
          <w:r>
            <w:rPr>
              <w:rStyle w:val="30"/>
              <w:rFonts w:hint="eastAsia" w:ascii="仿宋" w:hAnsi="仿宋" w:cs="Arial"/>
              <w:shd w:val="clear" w:color="auto" w:fill="FFFFFF"/>
              <w:lang w:bidi="ar"/>
            </w:rPr>
            <w:t>城轨交通运营线路总长度超1.2万公里，全年客运总量超320亿人次</w:t>
          </w:r>
          <w:r>
            <w:rPr>
              <w:rFonts w:hint="eastAsia"/>
            </w:rPr>
            <w:tab/>
          </w:r>
          <w:r>
            <w:rPr>
              <w:rFonts w:hint="eastAsia"/>
            </w:rPr>
            <w:fldChar w:fldCharType="begin"/>
          </w:r>
          <w:r>
            <w:rPr>
              <w:rFonts w:hint="eastAsia"/>
            </w:rPr>
            <w:instrText xml:space="preserve"> </w:instrText>
          </w:r>
          <w:r>
            <w:instrText xml:space="preserve">PAGEREF _Toc187665050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2074B296">
          <w:pPr>
            <w:pStyle w:val="17"/>
            <w:tabs>
              <w:tab w:val="right" w:leader="dot" w:pos="8296"/>
            </w:tabs>
            <w:rPr>
              <w:rFonts w:hint="eastAsia" w:cstheme="minorBidi"/>
              <w:kern w:val="2"/>
              <w:szCs w:val="24"/>
              <w14:ligatures w14:val="standardContextual"/>
            </w:rPr>
          </w:pPr>
          <w:r>
            <w:fldChar w:fldCharType="begin"/>
          </w:r>
          <w:r>
            <w:instrText xml:space="preserve"> HYPERLINK \l "_Toc187665051" </w:instrText>
          </w:r>
          <w:r>
            <w:fldChar w:fldCharType="separate"/>
          </w:r>
          <w:r>
            <w:rPr>
              <w:rStyle w:val="30"/>
              <w:rFonts w:hint="eastAsia" w:ascii="黑体" w:hAnsi="黑体" w:eastAsia="黑体"/>
              <w:kern w:val="44"/>
            </w:rPr>
            <w:t>三、企业动态</w:t>
          </w:r>
          <w:r>
            <w:rPr>
              <w:rFonts w:hint="eastAsia"/>
            </w:rPr>
            <w:tab/>
          </w:r>
          <w:r>
            <w:rPr>
              <w:rFonts w:hint="eastAsia"/>
            </w:rPr>
            <w:fldChar w:fldCharType="begin"/>
          </w:r>
          <w:r>
            <w:rPr>
              <w:rFonts w:hint="eastAsia"/>
            </w:rPr>
            <w:instrText xml:space="preserve"> </w:instrText>
          </w:r>
          <w:r>
            <w:instrText xml:space="preserve">PAGEREF _Toc187665051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37F3F843">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"_Toc187665052" </w:instrText>
          </w:r>
          <w:r>
            <w:fldChar w:fldCharType="separate"/>
          </w:r>
          <w:r>
            <w:rPr>
              <w:rStyle w:val="30"/>
              <w:rFonts w:hint="eastAsia" w:ascii="仿宋" w:hAnsi="仿宋"/>
              <w:lang w:bidi="ar"/>
            </w:rPr>
            <w:t>1.</w:t>
          </w:r>
          <w:r>
            <w:rPr>
              <w:rFonts w:hint="eastAsia" w:cstheme="minorBidi"/>
              <w:kern w:val="2"/>
              <w:szCs w:val="24"/>
              <w14:ligatures w14:val="standardContextual"/>
            </w:rPr>
            <w:tab/>
          </w:r>
          <w:r>
            <w:rPr>
              <w:rStyle w:val="30"/>
              <w:rFonts w:hint="eastAsia" w:ascii="仿宋" w:hAnsi="仿宋"/>
              <w:shd w:val="clear" w:color="auto" w:fill="FFFFFF"/>
              <w:lang w:bidi="ar"/>
            </w:rPr>
            <w:t>12月六城TOD土地成交12幅，其中合肥轨道溢价获得城市更新TOD地块</w:t>
          </w:r>
          <w:r>
            <w:rPr>
              <w:rFonts w:hint="eastAsia"/>
            </w:rPr>
            <w:tab/>
          </w:r>
          <w:r>
            <w:rPr>
              <w:rFonts w:hint="eastAsia"/>
            </w:rPr>
            <w:fldChar w:fldCharType="begin"/>
          </w:r>
          <w:r>
            <w:rPr>
              <w:rFonts w:hint="eastAsia"/>
            </w:rPr>
            <w:instrText xml:space="preserve"> </w:instrText>
          </w:r>
          <w:r>
            <w:instrText xml:space="preserve">PAGEREF _Toc187665052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2587FF07">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"_Toc187665053" </w:instrText>
          </w:r>
          <w:r>
            <w:fldChar w:fldCharType="separate"/>
          </w:r>
          <w:r>
            <w:rPr>
              <w:rStyle w:val="30"/>
              <w:rFonts w:hint="eastAsia" w:ascii="仿宋" w:hAnsi="仿宋"/>
              <w:lang w:bidi="ar"/>
            </w:rPr>
            <w:t>2.</w:t>
          </w:r>
          <w:r>
            <w:rPr>
              <w:rFonts w:hint="eastAsia" w:cstheme="minorBidi"/>
              <w:kern w:val="2"/>
              <w:szCs w:val="24"/>
              <w14:ligatures w14:val="standardContextual"/>
            </w:rPr>
            <w:tab/>
          </w:r>
          <w:r>
            <w:rPr>
              <w:rStyle w:val="30"/>
              <w:rFonts w:hint="eastAsia" w:ascii="仿宋" w:hAnsi="仿宋"/>
              <w:shd w:val="clear" w:color="auto" w:fill="FFFFFF"/>
              <w:lang w:bidi="ar"/>
            </w:rPr>
            <w:t>广州地铁地产发布TOD产品“黄金五律”，转型为全面的生活方式服务商</w:t>
          </w:r>
          <w:r>
            <w:rPr>
              <w:rFonts w:hint="eastAsia"/>
            </w:rPr>
            <w:tab/>
          </w:r>
          <w:r>
            <w:rPr>
              <w:rFonts w:hint="eastAsia"/>
            </w:rPr>
            <w:fldChar w:fldCharType="begin"/>
          </w:r>
          <w:r>
            <w:rPr>
              <w:rFonts w:hint="eastAsia"/>
            </w:rPr>
            <w:instrText xml:space="preserve"> </w:instrText>
          </w:r>
          <w:r>
            <w:instrText xml:space="preserve">PAGEREF _Toc187665053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6D4F7D77">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"_Toc187665054" </w:instrText>
          </w:r>
          <w:r>
            <w:fldChar w:fldCharType="separate"/>
          </w:r>
          <w:r>
            <w:rPr>
              <w:rStyle w:val="30"/>
              <w:rFonts w:hint="eastAsia" w:ascii="仿宋" w:hAnsi="仿宋" w:cs="Arial"/>
              <w:lang w:bidi="ar"/>
            </w:rPr>
            <w:t>3.</w:t>
          </w:r>
          <w:r>
            <w:rPr>
              <w:rFonts w:hint="eastAsia" w:cstheme="minorBidi"/>
              <w:kern w:val="2"/>
              <w:szCs w:val="24"/>
              <w14:ligatures w14:val="standardContextual"/>
            </w:rPr>
            <w:tab/>
          </w:r>
          <w:r>
            <w:rPr>
              <w:rStyle w:val="30"/>
              <w:rFonts w:hint="eastAsia" w:ascii="仿宋" w:hAnsi="仿宋" w:cs="Arial"/>
              <w:shd w:val="clear" w:color="auto" w:fill="FFFFFF"/>
              <w:lang w:bidi="ar"/>
            </w:rPr>
            <w:t>无锡经开区和无锡地铁集团签约贡湖湿地公园车辆段项目</w:t>
          </w:r>
          <w:r>
            <w:rPr>
              <w:rFonts w:hint="eastAsia"/>
            </w:rPr>
            <w:tab/>
          </w:r>
          <w:r>
            <w:rPr>
              <w:rFonts w:hint="eastAsia"/>
            </w:rPr>
            <w:fldChar w:fldCharType="begin"/>
          </w:r>
          <w:r>
            <w:rPr>
              <w:rFonts w:hint="eastAsia"/>
            </w:rPr>
            <w:instrText xml:space="preserve"> </w:instrText>
          </w:r>
          <w:r>
            <w:instrText xml:space="preserve">PAGEREF _Toc187665054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1D8D3AD7">
          <w:pPr>
            <w:pStyle w:val="17"/>
            <w:tabs>
              <w:tab w:val="right" w:leader="dot" w:pos="8296"/>
            </w:tabs>
            <w:rPr>
              <w:rFonts w:hint="eastAsia" w:cstheme="minorBidi"/>
              <w:kern w:val="2"/>
              <w:szCs w:val="24"/>
              <w14:ligatures w14:val="standardContextual"/>
            </w:rPr>
          </w:pPr>
          <w:r>
            <w:fldChar w:fldCharType="begin"/>
          </w:r>
          <w:r>
            <w:instrText xml:space="preserve"> HYPERLINK \l "_Toc187665055" </w:instrText>
          </w:r>
          <w:r>
            <w:fldChar w:fldCharType="separate"/>
          </w:r>
          <w:r>
            <w:rPr>
              <w:rStyle w:val="30"/>
              <w:rFonts w:hint="eastAsia" w:ascii="黑体" w:hAnsi="黑体" w:eastAsia="黑体"/>
              <w:kern w:val="44"/>
            </w:rPr>
            <w:t>四、项目动态</w:t>
          </w:r>
          <w:r>
            <w:rPr>
              <w:rFonts w:hint="eastAsia"/>
            </w:rPr>
            <w:tab/>
          </w:r>
          <w:r>
            <w:rPr>
              <w:rFonts w:hint="eastAsia"/>
            </w:rPr>
            <w:fldChar w:fldCharType="begin"/>
          </w:r>
          <w:r>
            <w:rPr>
              <w:rFonts w:hint="eastAsia"/>
            </w:rPr>
            <w:instrText xml:space="preserve"> </w:instrText>
          </w:r>
          <w:r>
            <w:instrText xml:space="preserve">PAGEREF _Toc187665055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4E170047">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"_Toc187665056" </w:instrText>
          </w:r>
          <w:r>
            <w:fldChar w:fldCharType="separate"/>
          </w:r>
          <w:r>
            <w:rPr>
              <w:rStyle w:val="30"/>
              <w:rFonts w:hint="eastAsia" w:ascii="仿宋" w:hAnsi="仿宋" w:cs="Arial"/>
              <w:lang w:bidi="ar"/>
            </w:rPr>
            <w:t>1.</w:t>
          </w:r>
          <w:r>
            <w:rPr>
              <w:rFonts w:hint="eastAsia" w:cstheme="minorBidi"/>
              <w:kern w:val="2"/>
              <w:szCs w:val="24"/>
              <w14:ligatures w14:val="standardContextual"/>
            </w:rPr>
            <w:tab/>
          </w:r>
          <w:r>
            <w:rPr>
              <w:rStyle w:val="30"/>
              <w:rFonts w:hint="eastAsia" w:ascii="仿宋" w:hAnsi="仿宋" w:cs="Arial"/>
              <w:shd w:val="clear" w:color="auto" w:fill="FFFFFF"/>
              <w:lang w:bidi="ar"/>
            </w:rPr>
            <w:t>漳州台商区首个TOD第四代生态住宅角美万达城市展厅正式开放</w:t>
          </w:r>
          <w:r>
            <w:rPr>
              <w:rFonts w:hint="eastAsia"/>
            </w:rPr>
            <w:tab/>
          </w:r>
          <w:r>
            <w:rPr>
              <w:rFonts w:hint="eastAsia"/>
            </w:rPr>
            <w:fldChar w:fldCharType="begin"/>
          </w:r>
          <w:r>
            <w:rPr>
              <w:rFonts w:hint="eastAsia"/>
            </w:rPr>
            <w:instrText xml:space="preserve"> </w:instrText>
          </w:r>
          <w:r>
            <w:instrText xml:space="preserve">PAGEREF _Toc187665056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63728A25">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"_Toc187665057" </w:instrText>
          </w:r>
          <w:r>
            <w:fldChar w:fldCharType="separate"/>
          </w:r>
          <w:r>
            <w:rPr>
              <w:rStyle w:val="30"/>
              <w:rFonts w:hint="eastAsia" w:ascii="仿宋" w:hAnsi="仿宋"/>
              <w:lang w:bidi="ar"/>
            </w:rPr>
            <w:t>2.</w:t>
          </w:r>
          <w:r>
            <w:rPr>
              <w:rFonts w:hint="eastAsia" w:cstheme="minorBidi"/>
              <w:kern w:val="2"/>
              <w:szCs w:val="24"/>
              <w14:ligatures w14:val="standardContextual"/>
            </w:rPr>
            <w:tab/>
          </w:r>
          <w:r>
            <w:rPr>
              <w:rStyle w:val="30"/>
              <w:rFonts w:hint="eastAsia" w:ascii="仿宋" w:hAnsi="仿宋"/>
              <w:shd w:val="clear" w:color="auto" w:fill="FFFFFF"/>
              <w:lang w:bidi="ar"/>
            </w:rPr>
            <w:t>深铁璟城人才房开盘首日三房售罄</w:t>
          </w:r>
          <w:r>
            <w:rPr>
              <w:rFonts w:hint="eastAsia"/>
            </w:rPr>
            <w:tab/>
          </w:r>
          <w:r>
            <w:rPr>
              <w:rFonts w:hint="eastAsia"/>
            </w:rPr>
            <w:fldChar w:fldCharType="begin"/>
          </w:r>
          <w:r>
            <w:rPr>
              <w:rFonts w:hint="eastAsia"/>
            </w:rPr>
            <w:instrText xml:space="preserve"> </w:instrText>
          </w:r>
          <w:r>
            <w:instrText xml:space="preserve">PAGEREF _Toc187665057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3C2A8BED">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"_Toc187665058" </w:instrText>
          </w:r>
          <w:r>
            <w:fldChar w:fldCharType="separate"/>
          </w:r>
          <w:r>
            <w:rPr>
              <w:rStyle w:val="30"/>
              <w:rFonts w:hint="eastAsia" w:ascii="仿宋" w:hAnsi="仿宋" w:cs="Arial"/>
              <w:lang w:bidi="ar"/>
            </w:rPr>
            <w:t>3.</w:t>
          </w:r>
          <w:r>
            <w:rPr>
              <w:rFonts w:hint="eastAsia" w:cstheme="minorBidi"/>
              <w:kern w:val="2"/>
              <w:szCs w:val="24"/>
              <w14:ligatures w14:val="standardContextual"/>
            </w:rPr>
            <w:tab/>
          </w:r>
          <w:r>
            <w:rPr>
              <w:rStyle w:val="30"/>
              <w:rFonts w:hint="eastAsia" w:ascii="仿宋" w:hAnsi="仿宋" w:cs="Arial"/>
              <w:shd w:val="clear" w:color="auto" w:fill="FFFFFF"/>
              <w:lang w:bidi="ar"/>
            </w:rPr>
            <w:t>天津市首个“养老+医疗+酒店”高铁TOD综合项目全面启动</w:t>
          </w:r>
          <w:r>
            <w:rPr>
              <w:rFonts w:hint="eastAsia"/>
            </w:rPr>
            <w:tab/>
          </w:r>
          <w:r>
            <w:rPr>
              <w:rFonts w:hint="eastAsia"/>
            </w:rPr>
            <w:fldChar w:fldCharType="begin"/>
          </w:r>
          <w:r>
            <w:rPr>
              <w:rFonts w:hint="eastAsia"/>
            </w:rPr>
            <w:instrText xml:space="preserve"> </w:instrText>
          </w:r>
          <w:r>
            <w:instrText xml:space="preserve">PAGEREF _Toc187665058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4746DECF">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"_Toc187665059" </w:instrText>
          </w:r>
          <w:r>
            <w:fldChar w:fldCharType="separate"/>
          </w:r>
          <w:r>
            <w:rPr>
              <w:rStyle w:val="30"/>
              <w:rFonts w:hint="eastAsia" w:ascii="仿宋" w:hAnsi="仿宋" w:cs="Arial"/>
              <w:lang w:bidi="ar"/>
            </w:rPr>
            <w:t>4.</w:t>
          </w:r>
          <w:r>
            <w:rPr>
              <w:rFonts w:hint="eastAsia" w:cstheme="minorBidi"/>
              <w:kern w:val="2"/>
              <w:szCs w:val="24"/>
              <w14:ligatures w14:val="standardContextual"/>
            </w:rPr>
            <w:tab/>
          </w:r>
          <w:r>
            <w:rPr>
              <w:rStyle w:val="30"/>
              <w:rFonts w:hint="eastAsia" w:ascii="仿宋" w:hAnsi="仿宋" w:cs="Arial"/>
              <w:shd w:val="clear" w:color="auto" w:fill="FFFFFF"/>
              <w:lang w:bidi="ar"/>
            </w:rPr>
            <w:t>天津轨道交通集团“津铁·镜界”项目一期工程顺利通过竣工验收</w:t>
          </w:r>
          <w:r>
            <w:rPr>
              <w:rFonts w:hint="eastAsia"/>
            </w:rPr>
            <w:tab/>
          </w:r>
          <w:r>
            <w:rPr>
              <w:rFonts w:hint="eastAsia"/>
            </w:rPr>
            <w:fldChar w:fldCharType="begin"/>
          </w:r>
          <w:r>
            <w:rPr>
              <w:rFonts w:hint="eastAsia"/>
            </w:rPr>
            <w:instrText xml:space="preserve"> </w:instrText>
          </w:r>
          <w:r>
            <w:instrText xml:space="preserve">PAGEREF _Toc187665059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14:paraId="04DE91A1">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"_Toc187665060" </w:instrText>
          </w:r>
          <w:r>
            <w:fldChar w:fldCharType="separate"/>
          </w:r>
          <w:r>
            <w:rPr>
              <w:rStyle w:val="30"/>
              <w:rFonts w:hint="eastAsia" w:ascii="仿宋" w:hAnsi="仿宋" w:cs="Arial"/>
              <w:lang w:bidi="ar"/>
            </w:rPr>
            <w:t>5.</w:t>
          </w:r>
          <w:r>
            <w:rPr>
              <w:rFonts w:hint="eastAsia" w:cstheme="minorBidi"/>
              <w:kern w:val="2"/>
              <w:szCs w:val="24"/>
              <w14:ligatures w14:val="standardContextual"/>
            </w:rPr>
            <w:tab/>
          </w:r>
          <w:r>
            <w:rPr>
              <w:rStyle w:val="30"/>
              <w:rFonts w:hint="eastAsia" w:ascii="仿宋" w:hAnsi="仿宋" w:cs="Arial"/>
              <w:shd w:val="clear" w:color="auto" w:fill="FFFFFF"/>
              <w:lang w:bidi="ar"/>
            </w:rPr>
            <w:t>上海市奉贤区环城北路车辆基地TOD综合开发国际方案征集</w:t>
          </w:r>
          <w:r>
            <w:rPr>
              <w:rFonts w:hint="eastAsia"/>
            </w:rPr>
            <w:tab/>
          </w:r>
          <w:r>
            <w:rPr>
              <w:rFonts w:hint="eastAsia"/>
            </w:rPr>
            <w:fldChar w:fldCharType="begin"/>
          </w:r>
          <w:r>
            <w:rPr>
              <w:rFonts w:hint="eastAsia"/>
            </w:rPr>
            <w:instrText xml:space="preserve"> </w:instrText>
          </w:r>
          <w:r>
            <w:instrText xml:space="preserve">PAGEREF _Toc187665060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14:paraId="69858C93">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"_Toc187665061" </w:instrText>
          </w:r>
          <w:r>
            <w:fldChar w:fldCharType="separate"/>
          </w:r>
          <w:r>
            <w:rPr>
              <w:rStyle w:val="30"/>
              <w:rFonts w:hint="eastAsia" w:ascii="仿宋" w:hAnsi="仿宋" w:cs="Arial"/>
              <w:lang w:bidi="ar"/>
            </w:rPr>
            <w:t>6.</w:t>
          </w:r>
          <w:r>
            <w:rPr>
              <w:rFonts w:hint="eastAsia" w:cstheme="minorBidi"/>
              <w:kern w:val="2"/>
              <w:szCs w:val="24"/>
              <w14:ligatures w14:val="standardContextual"/>
            </w:rPr>
            <w:tab/>
          </w:r>
          <w:r>
            <w:rPr>
              <w:rStyle w:val="30"/>
              <w:rFonts w:hint="eastAsia" w:ascii="仿宋" w:hAnsi="仿宋" w:cs="Arial"/>
              <w:shd w:val="clear" w:color="auto" w:fill="FFFFFF"/>
              <w:lang w:bidi="ar"/>
            </w:rPr>
            <w:t>厦门地铁资产首个自主招商运营的商业街区-杏锦TOD·锦悦里南区开业</w:t>
          </w:r>
          <w:r>
            <w:rPr>
              <w:rFonts w:hint="eastAsia"/>
            </w:rPr>
            <w:tab/>
          </w:r>
          <w:r>
            <w:rPr>
              <w:rFonts w:hint="eastAsia"/>
            </w:rPr>
            <w:fldChar w:fldCharType="begin"/>
          </w:r>
          <w:r>
            <w:rPr>
              <w:rFonts w:hint="eastAsia"/>
            </w:rPr>
            <w:instrText xml:space="preserve"> </w:instrText>
          </w:r>
          <w:r>
            <w:instrText xml:space="preserve">PAGEREF _Toc187665061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14:paraId="436EE15B">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"_Toc187665062" </w:instrText>
          </w:r>
          <w:r>
            <w:fldChar w:fldCharType="separate"/>
          </w:r>
          <w:r>
            <w:rPr>
              <w:rStyle w:val="30"/>
              <w:rFonts w:hint="eastAsia" w:ascii="仿宋" w:hAnsi="仿宋" w:cs="Arial"/>
              <w:lang w:bidi="ar"/>
            </w:rPr>
            <w:t>7.</w:t>
          </w:r>
          <w:r>
            <w:rPr>
              <w:rFonts w:hint="eastAsia" w:cstheme="minorBidi"/>
              <w:kern w:val="2"/>
              <w:szCs w:val="24"/>
              <w14:ligatures w14:val="standardContextual"/>
            </w:rPr>
            <w:tab/>
          </w:r>
          <w:r>
            <w:rPr>
              <w:rStyle w:val="30"/>
              <w:rFonts w:hint="eastAsia" w:ascii="仿宋" w:hAnsi="仿宋" w:cs="Arial"/>
              <w:shd w:val="clear" w:color="auto" w:fill="FFFFFF"/>
              <w:lang w:bidi="ar"/>
            </w:rPr>
            <w:t>佛山地铁三号线钟楼站TOD项目主体结构封顶</w:t>
          </w:r>
          <w:r>
            <w:rPr>
              <w:rFonts w:hint="eastAsia"/>
            </w:rPr>
            <w:tab/>
          </w:r>
          <w:r>
            <w:rPr>
              <w:rFonts w:hint="eastAsia"/>
            </w:rPr>
            <w:fldChar w:fldCharType="begin"/>
          </w:r>
          <w:r>
            <w:rPr>
              <w:rFonts w:hint="eastAsia"/>
            </w:rPr>
            <w:instrText xml:space="preserve"> </w:instrText>
          </w:r>
          <w:r>
            <w:instrText xml:space="preserve">PAGEREF _Toc187665062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14:paraId="0FC846DD">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"_Toc187665063" </w:instrText>
          </w:r>
          <w:r>
            <w:fldChar w:fldCharType="separate"/>
          </w:r>
          <w:r>
            <w:rPr>
              <w:rStyle w:val="30"/>
              <w:rFonts w:hint="eastAsia" w:ascii="仿宋" w:hAnsi="仿宋" w:cs="Arial"/>
              <w:lang w:bidi="ar"/>
            </w:rPr>
            <w:t>8.</w:t>
          </w:r>
          <w:r>
            <w:rPr>
              <w:rFonts w:hint="eastAsia" w:cstheme="minorBidi"/>
              <w:kern w:val="2"/>
              <w:szCs w:val="24"/>
              <w14:ligatures w14:val="standardContextual"/>
            </w:rPr>
            <w:tab/>
          </w:r>
          <w:r>
            <w:rPr>
              <w:rStyle w:val="30"/>
              <w:rFonts w:hint="eastAsia" w:ascii="仿宋" w:hAnsi="仿宋" w:cs="Arial"/>
              <w:shd w:val="clear" w:color="auto" w:fill="FFFFFF"/>
              <w:lang w:bidi="ar"/>
            </w:rPr>
            <w:t>中骏商管旗下福州中骏世界城开业</w:t>
          </w:r>
          <w:r>
            <w:rPr>
              <w:rFonts w:hint="eastAsia"/>
            </w:rPr>
            <w:tab/>
          </w:r>
          <w:r>
            <w:rPr>
              <w:rFonts w:hint="eastAsia"/>
            </w:rPr>
            <w:fldChar w:fldCharType="begin"/>
          </w:r>
          <w:r>
            <w:rPr>
              <w:rFonts w:hint="eastAsia"/>
            </w:rPr>
            <w:instrText xml:space="preserve"> </w:instrText>
          </w:r>
          <w:r>
            <w:instrText xml:space="preserve">PAGEREF _Toc187665063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14:paraId="115347DB">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"_Toc187665064" </w:instrText>
          </w:r>
          <w:r>
            <w:fldChar w:fldCharType="separate"/>
          </w:r>
          <w:r>
            <w:rPr>
              <w:rStyle w:val="30"/>
              <w:rFonts w:hint="eastAsia" w:ascii="仿宋" w:hAnsi="仿宋" w:cs="Arial"/>
              <w:lang w:bidi="ar"/>
            </w:rPr>
            <w:t>9.</w:t>
          </w:r>
          <w:r>
            <w:rPr>
              <w:rFonts w:hint="eastAsia" w:cstheme="minorBidi"/>
              <w:kern w:val="2"/>
              <w:szCs w:val="24"/>
              <w14:ligatures w14:val="standardContextual"/>
            </w:rPr>
            <w:tab/>
          </w:r>
          <w:r>
            <w:rPr>
              <w:rStyle w:val="30"/>
              <w:rFonts w:hint="eastAsia" w:ascii="仿宋" w:hAnsi="仿宋" w:cs="Arial"/>
              <w:shd w:val="clear" w:color="auto" w:fill="FFFFFF"/>
              <w:lang w:bidi="ar"/>
            </w:rPr>
            <w:t>成都幸福桥、秦皇寺TOD迎来大型商业综合体</w:t>
          </w:r>
          <w:r>
            <w:rPr>
              <w:rFonts w:hint="eastAsia"/>
            </w:rPr>
            <w:tab/>
          </w:r>
          <w:r>
            <w:rPr>
              <w:rFonts w:hint="eastAsia"/>
            </w:rPr>
            <w:fldChar w:fldCharType="begin"/>
          </w:r>
          <w:r>
            <w:rPr>
              <w:rFonts w:hint="eastAsia"/>
            </w:rPr>
            <w:instrText xml:space="preserve"> </w:instrText>
          </w:r>
          <w:r>
            <w:instrText xml:space="preserve">PAGEREF _Toc187665064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14:paraId="42F85F8B">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"_Toc187665065" </w:instrText>
          </w:r>
          <w:r>
            <w:fldChar w:fldCharType="separate"/>
          </w:r>
          <w:r>
            <w:rPr>
              <w:rStyle w:val="30"/>
              <w:rFonts w:hint="eastAsia" w:ascii="仿宋" w:hAnsi="仿宋" w:cs="Arial"/>
              <w:lang w:bidi="ar"/>
            </w:rPr>
            <w:t>10.</w:t>
          </w:r>
          <w:r>
            <w:rPr>
              <w:rFonts w:hint="eastAsia" w:cstheme="minorBidi"/>
              <w:kern w:val="2"/>
              <w:szCs w:val="24"/>
              <w14:ligatures w14:val="standardContextual"/>
            </w:rPr>
            <w:tab/>
          </w:r>
          <w:r>
            <w:rPr>
              <w:rStyle w:val="30"/>
              <w:rFonts w:hint="eastAsia" w:ascii="仿宋" w:hAnsi="仿宋" w:cs="Arial"/>
              <w:shd w:val="clear" w:color="auto" w:fill="FFFFFF"/>
              <w:lang w:bidi="ar"/>
            </w:rPr>
            <w:t>苏州地铁6号线悬桥巷站城市更新TOD项目荣获2项设计大奖</w:t>
          </w:r>
          <w:r>
            <w:rPr>
              <w:rFonts w:hint="eastAsia"/>
            </w:rPr>
            <w:tab/>
          </w:r>
          <w:r>
            <w:rPr>
              <w:rFonts w:hint="eastAsia"/>
            </w:rPr>
            <w:fldChar w:fldCharType="begin"/>
          </w:r>
          <w:r>
            <w:rPr>
              <w:rFonts w:hint="eastAsia"/>
            </w:rPr>
            <w:instrText xml:space="preserve"> </w:instrText>
          </w:r>
          <w:r>
            <w:instrText xml:space="preserve">PAGEREF _Toc187665065 \h</w:instrText>
          </w:r>
          <w:r>
            <w:rPr>
              <w:rFonts w:hint="eastAsia"/>
            </w:rPr>
            <w:instrText xml:space="preserve"> </w:instrText>
          </w:r>
          <w:r>
            <w:rPr>
              <w:rFonts w:hint="eastAsia"/>
            </w:rPr>
            <w:fldChar w:fldCharType="separate"/>
          </w:r>
          <w:r>
            <w:rPr>
              <w:rFonts w:hint="eastAsia"/>
            </w:rPr>
            <w:t>14</w:t>
          </w:r>
          <w:r>
            <w:rPr>
              <w:rFonts w:hint="eastAsia"/>
            </w:rPr>
            <w:fldChar w:fldCharType="end"/>
          </w:r>
          <w:r>
            <w:rPr>
              <w:rFonts w:hint="eastAsia"/>
            </w:rPr>
            <w:fldChar w:fldCharType="end"/>
          </w:r>
        </w:p>
        <w:p w14:paraId="4D76402C">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"_Toc187665066" </w:instrText>
          </w:r>
          <w:r>
            <w:fldChar w:fldCharType="separate"/>
          </w:r>
          <w:r>
            <w:rPr>
              <w:rStyle w:val="30"/>
              <w:rFonts w:hint="eastAsia" w:ascii="仿宋" w:hAnsi="仿宋" w:cs="Arial"/>
              <w:lang w:bidi="ar"/>
            </w:rPr>
            <w:t>11.</w:t>
          </w:r>
          <w:r>
            <w:rPr>
              <w:rFonts w:hint="eastAsia" w:cstheme="minorBidi"/>
              <w:kern w:val="2"/>
              <w:szCs w:val="24"/>
              <w14:ligatures w14:val="standardContextual"/>
            </w:rPr>
            <w:tab/>
          </w:r>
          <w:r>
            <w:rPr>
              <w:rStyle w:val="30"/>
              <w:rFonts w:hint="eastAsia" w:ascii="仿宋" w:hAnsi="仿宋" w:cs="Arial"/>
              <w:shd w:val="clear" w:color="auto" w:fill="FFFFFF"/>
              <w:lang w:bidi="ar"/>
            </w:rPr>
            <w:t>成都首个TOD开放式商业街区开业</w:t>
          </w:r>
          <w:r>
            <w:rPr>
              <w:rFonts w:hint="eastAsia"/>
            </w:rPr>
            <w:tab/>
          </w:r>
          <w:r>
            <w:rPr>
              <w:rFonts w:hint="eastAsia"/>
            </w:rPr>
            <w:fldChar w:fldCharType="begin"/>
          </w:r>
          <w:r>
            <w:rPr>
              <w:rFonts w:hint="eastAsia"/>
            </w:rPr>
            <w:instrText xml:space="preserve"> </w:instrText>
          </w:r>
          <w:r>
            <w:instrText xml:space="preserve">PAGEREF _Toc187665066 \h</w:instrText>
          </w:r>
          <w:r>
            <w:rPr>
              <w:rFonts w:hint="eastAsia"/>
            </w:rPr>
            <w:instrText xml:space="preserve"> </w:instrText>
          </w:r>
          <w:r>
            <w:rPr>
              <w:rFonts w:hint="eastAsia"/>
            </w:rPr>
            <w:fldChar w:fldCharType="separate"/>
          </w:r>
          <w:r>
            <w:rPr>
              <w:rFonts w:hint="eastAsia"/>
            </w:rPr>
            <w:t>14</w:t>
          </w:r>
          <w:r>
            <w:rPr>
              <w:rFonts w:hint="eastAsia"/>
            </w:rPr>
            <w:fldChar w:fldCharType="end"/>
          </w:r>
          <w:r>
            <w:rPr>
              <w:rFonts w:hint="eastAsia"/>
            </w:rPr>
            <w:fldChar w:fldCharType="end"/>
          </w:r>
        </w:p>
        <w:p w14:paraId="4C88A84F">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"_Toc187665067" </w:instrText>
          </w:r>
          <w:r>
            <w:fldChar w:fldCharType="separate"/>
          </w:r>
          <w:r>
            <w:rPr>
              <w:rStyle w:val="30"/>
              <w:rFonts w:hint="eastAsia" w:ascii="仿宋" w:hAnsi="仿宋" w:cs="Arial"/>
              <w:lang w:bidi="ar"/>
            </w:rPr>
            <w:t>12.</w:t>
          </w:r>
          <w:r>
            <w:rPr>
              <w:rFonts w:hint="eastAsia" w:cstheme="minorBidi"/>
              <w:kern w:val="2"/>
              <w:szCs w:val="24"/>
              <w14:ligatures w14:val="standardContextual"/>
            </w:rPr>
            <w:tab/>
          </w:r>
          <w:r>
            <w:rPr>
              <w:rStyle w:val="30"/>
              <w:rFonts w:hint="eastAsia" w:ascii="仿宋" w:hAnsi="仿宋" w:cs="Arial"/>
              <w:shd w:val="clear" w:color="auto" w:fill="FFFFFF"/>
              <w:lang w:bidi="ar"/>
            </w:rPr>
            <w:t>招商商管上海绿洲智谷花园里开业</w:t>
          </w:r>
          <w:r>
            <w:rPr>
              <w:rFonts w:hint="eastAsia"/>
            </w:rPr>
            <w:tab/>
          </w:r>
          <w:r>
            <w:rPr>
              <w:rFonts w:hint="eastAsia"/>
            </w:rPr>
            <w:fldChar w:fldCharType="begin"/>
          </w:r>
          <w:r>
            <w:rPr>
              <w:rFonts w:hint="eastAsia"/>
            </w:rPr>
            <w:instrText xml:space="preserve"> </w:instrText>
          </w:r>
          <w:r>
            <w:instrText xml:space="preserve">PAGEREF _Toc187665067 \h</w:instrText>
          </w:r>
          <w:r>
            <w:rPr>
              <w:rFonts w:hint="eastAsia"/>
            </w:rPr>
            <w:instrText xml:space="preserve"> </w:instrText>
          </w:r>
          <w:r>
            <w:rPr>
              <w:rFonts w:hint="eastAsia"/>
            </w:rPr>
            <w:fldChar w:fldCharType="separate"/>
          </w:r>
          <w:r>
            <w:rPr>
              <w:rFonts w:hint="eastAsia"/>
            </w:rPr>
            <w:t>15</w:t>
          </w:r>
          <w:r>
            <w:rPr>
              <w:rFonts w:hint="eastAsia"/>
            </w:rPr>
            <w:fldChar w:fldCharType="end"/>
          </w:r>
          <w:r>
            <w:rPr>
              <w:rFonts w:hint="eastAsia"/>
            </w:rPr>
            <w:fldChar w:fldCharType="end"/>
          </w:r>
        </w:p>
        <w:p w14:paraId="31ADADC0">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"_Toc187665068" </w:instrText>
          </w:r>
          <w:r>
            <w:fldChar w:fldCharType="separate"/>
          </w:r>
          <w:r>
            <w:rPr>
              <w:rStyle w:val="30"/>
              <w:rFonts w:hint="eastAsia" w:ascii="仿宋" w:hAnsi="仿宋" w:cs="Arial"/>
              <w:lang w:bidi="ar"/>
            </w:rPr>
            <w:t>13.</w:t>
          </w:r>
          <w:r>
            <w:rPr>
              <w:rFonts w:hint="eastAsia" w:cstheme="minorBidi"/>
              <w:kern w:val="2"/>
              <w:szCs w:val="24"/>
              <w14:ligatures w14:val="standardContextual"/>
            </w:rPr>
            <w:tab/>
          </w:r>
          <w:r>
            <w:rPr>
              <w:rStyle w:val="30"/>
              <w:rFonts w:hint="eastAsia" w:ascii="仿宋" w:hAnsi="仿宋" w:cs="Arial"/>
              <w:shd w:val="clear" w:color="auto" w:fill="FFFFFF"/>
              <w:lang w:bidi="ar"/>
            </w:rPr>
            <w:t>宁波市海曙首个轨道TOD保租房项目投用</w:t>
          </w:r>
          <w:r>
            <w:rPr>
              <w:rFonts w:hint="eastAsia"/>
            </w:rPr>
            <w:tab/>
          </w:r>
          <w:r>
            <w:rPr>
              <w:rFonts w:hint="eastAsia"/>
            </w:rPr>
            <w:fldChar w:fldCharType="begin"/>
          </w:r>
          <w:r>
            <w:rPr>
              <w:rFonts w:hint="eastAsia"/>
            </w:rPr>
            <w:instrText xml:space="preserve"> </w:instrText>
          </w:r>
          <w:r>
            <w:instrText xml:space="preserve">PAGEREF _Toc187665068 \h</w:instrText>
          </w:r>
          <w:r>
            <w:rPr>
              <w:rFonts w:hint="eastAsia"/>
            </w:rPr>
            <w:instrText xml:space="preserve"> </w:instrText>
          </w:r>
          <w:r>
            <w:rPr>
              <w:rFonts w:hint="eastAsia"/>
            </w:rPr>
            <w:fldChar w:fldCharType="separate"/>
          </w:r>
          <w:r>
            <w:rPr>
              <w:rFonts w:hint="eastAsia"/>
            </w:rPr>
            <w:t>15</w:t>
          </w:r>
          <w:r>
            <w:rPr>
              <w:rFonts w:hint="eastAsia"/>
            </w:rPr>
            <w:fldChar w:fldCharType="end"/>
          </w:r>
          <w:r>
            <w:rPr>
              <w:rFonts w:hint="eastAsia"/>
            </w:rPr>
            <w:fldChar w:fldCharType="end"/>
          </w:r>
        </w:p>
        <w:p w14:paraId="24CFEA80">
          <w:pPr>
            <w:ind w:firstLine="482"/>
            <w:rPr>
              <w:rFonts w:hint="eastAsia" w:ascii="仿宋" w:hAnsi="仿宋"/>
            </w:rPr>
            <w:sectPr>
              <w:headerReference r:id="rId11" w:type="default"/>
              <w:pgSz w:w="11906" w:h="16838"/>
              <w:pgMar w:top="1440" w:right="1800" w:bottom="1440" w:left="1800" w:header="1474" w:footer="964" w:gutter="0"/>
              <w:pgNumType w:start="1"/>
              <w:cols w:space="425" w:num="1"/>
              <w:docGrid w:type="lines" w:linePitch="326" w:charSpace="0"/>
            </w:sectPr>
          </w:pPr>
          <w:r>
            <w:rPr>
              <w:rFonts w:ascii="仿宋" w:hAnsi="仿宋"/>
              <w:b/>
              <w:bCs/>
              <w:lang w:val="zh-CN"/>
            </w:rPr>
            <w:fldChar w:fldCharType="end"/>
          </w:r>
        </w:p>
      </w:sdtContent>
    </w:sdt>
    <w:p w14:paraId="033B981B">
      <w:pPr>
        <w:spacing w:before="163" w:beforeLines="50" w:after="163" w:afterLines="50"/>
        <w:ind w:firstLine="480"/>
        <w:rPr>
          <w:rFonts w:hint="eastAsia" w:ascii="仿宋" w:hAnsi="仿宋"/>
          <w:szCs w:val="36"/>
        </w:rPr>
      </w:pPr>
      <w:r>
        <w:rPr>
          <w:rFonts w:hint="eastAsia" w:ascii="仿宋" w:hAnsi="仿宋"/>
          <w:szCs w:val="36"/>
        </w:rPr>
        <w:t>《中国城市轨道交通</w:t>
      </w:r>
      <w:r>
        <w:rPr>
          <w:rFonts w:ascii="仿宋" w:hAnsi="仿宋"/>
          <w:szCs w:val="36"/>
        </w:rPr>
        <w:t>TOD监测月报》是由上海易居房地产研究院与中国国土经济学会国土交通综合规划与开发（TOD）专业委员会共同研发，旨在以动态的眼光、全面的视角跟踪全国及各城市TOD政策及行业动向，地铁公司和典型房企的TOD土地成交和项目动态，进而了解并研判行业发展的新政策、新动态和新方向。</w:t>
      </w:r>
    </w:p>
    <w:p w14:paraId="20470825">
      <w:pPr>
        <w:pStyle w:val="2"/>
        <w:keepLines/>
        <w:widowControl w:val="0"/>
        <w:spacing w:before="163" w:after="163"/>
        <w:ind w:firstLine="562"/>
        <w:jc w:val="center"/>
        <w:rPr>
          <w:rFonts w:hint="eastAsia" w:ascii="仿宋" w:hAnsi="仿宋" w:cs="Times New Roman"/>
          <w:color w:val="5B9BD5" w:themeColor="accent5"/>
          <w:kern w:val="44"/>
          <w:sz w:val="28"/>
          <w14:textFill>
            <w14:solidFill>
              <w14:schemeClr w14:val="accent5"/>
            </w14:solidFill>
          </w14:textFill>
        </w:rPr>
      </w:pPr>
      <w:bookmarkStart w:id="4" w:name="_Toc166095658"/>
      <w:bookmarkStart w:id="5" w:name="_Toc166169573"/>
      <w:bookmarkStart w:id="6" w:name="_Toc187665037"/>
      <w:r>
        <w:rPr>
          <w:rFonts w:ascii="仿宋" w:hAnsi="仿宋"/>
          <w:b w:val="0"/>
          <w:bCs w:val="0"/>
        </w:rPr>
        <mc:AlternateContent>
          <mc:Choice Requires="wps">
            <w:drawing>
              <wp:anchor distT="118745" distB="118745" distL="114300" distR="114300" simplePos="0" relativeHeight="251665408" behindDoc="0" locked="0" layoutInCell="0" allowOverlap="1">
                <wp:simplePos x="0" y="0"/>
                <wp:positionH relativeFrom="margin">
                  <wp:posOffset>-29845</wp:posOffset>
                </wp:positionH>
                <wp:positionV relativeFrom="page">
                  <wp:posOffset>3458210</wp:posOffset>
                </wp:positionV>
                <wp:extent cx="5303520" cy="5255260"/>
                <wp:effectExtent l="0" t="0" r="0" b="2540"/>
                <wp:wrapSquare wrapText="bothSides"/>
                <wp:docPr id="69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303520" cy="5255260"/>
                        </a:xfrm>
                        <a:prstGeom prst="rect">
                          <a:avLst/>
                        </a:prstGeom>
                        <a:solidFill>
                          <a:schemeClr val="accent1">
                            <a:lumMod val="20000"/>
                            <a:lumOff val="80000"/>
                          </a:schemeClr>
                        </a:solidFill>
                      </wps:spPr>
                      <wps:txbx>
                        <w:txbxContent>
                          <w:p w14:paraId="7F1B4DBB">
                            <w:pPr>
                              <w:pStyle w:val="32"/>
                              <w:numPr>
                                <w:ilvl w:val="0"/>
                                <w:numId w:val="1"/>
                              </w:numPr>
                              <w:ind w:left="0" w:firstLine="480"/>
                              <w:jc w:val="both"/>
                              <w:rPr>
                                <w:rFonts w:hint="eastAsia" w:ascii="仿宋" w:hAnsi="仿宋"/>
                                <w:szCs w:val="28"/>
                              </w:rPr>
                            </w:pPr>
                            <w:r>
                              <w:rPr>
                                <w:rFonts w:hint="eastAsia" w:ascii="仿宋" w:hAnsi="仿宋"/>
                                <w:szCs w:val="28"/>
                              </w:rPr>
                              <w:t>政策动态：多省市发布TOD政策。南宁实施《TOD规划设计导则》，为站城融合规划建设提供指引；昆明实施详细规划技术准则，充分践行TOD开发理念；中办、国办发文鼓励社会资本参与交通基建，强化资源与资金支持。</w:t>
                            </w:r>
                          </w:p>
                          <w:p w14:paraId="15F5DB44">
                            <w:pPr>
                              <w:pStyle w:val="32"/>
                              <w:numPr>
                                <w:ilvl w:val="0"/>
                                <w:numId w:val="1"/>
                              </w:numPr>
                              <w:ind w:left="0" w:firstLine="480"/>
                              <w:jc w:val="both"/>
                              <w:rPr>
                                <w:rFonts w:hint="eastAsia" w:ascii="仿宋" w:hAnsi="仿宋"/>
                                <w:szCs w:val="28"/>
                              </w:rPr>
                            </w:pPr>
                            <w:r>
                              <w:rPr>
                                <w:rFonts w:hint="eastAsia" w:ascii="仿宋" w:hAnsi="仿宋"/>
                                <w:szCs w:val="28"/>
                              </w:rPr>
                              <w:t>行业动态：</w:t>
                            </w:r>
                            <w:r>
                              <w:rPr>
                                <w:rFonts w:ascii="仿宋" w:hAnsi="仿宋"/>
                                <w:lang w:bidi="en-US"/>
                              </w:rPr>
                              <w:t>截至2024年</w:t>
                            </w:r>
                            <w:r>
                              <w:rPr>
                                <w:rFonts w:hint="eastAsia" w:ascii="仿宋" w:hAnsi="仿宋"/>
                                <w:lang w:bidi="en-US"/>
                              </w:rPr>
                              <w:t>末</w:t>
                            </w:r>
                            <w:r>
                              <w:rPr>
                                <w:rFonts w:ascii="仿宋" w:hAnsi="仿宋"/>
                                <w:lang w:bidi="en-US"/>
                              </w:rPr>
                              <w:t>，中国内地5</w:t>
                            </w:r>
                            <w:r>
                              <w:rPr>
                                <w:rFonts w:hint="eastAsia" w:ascii="仿宋" w:hAnsi="仿宋"/>
                                <w:lang w:bidi="en-US"/>
                              </w:rPr>
                              <w:t>8城已运营362条城轨线路，</w:t>
                            </w:r>
                            <w:r>
                              <w:rPr>
                                <w:rFonts w:ascii="仿宋" w:hAnsi="仿宋"/>
                                <w:lang w:bidi="en-US"/>
                              </w:rPr>
                              <w:t>总长度</w:t>
                            </w:r>
                            <w:r>
                              <w:rPr>
                                <w:rFonts w:hint="eastAsia" w:ascii="仿宋" w:hAnsi="仿宋"/>
                                <w:lang w:bidi="en-US"/>
                              </w:rPr>
                              <w:t>达到</w:t>
                            </w:r>
                            <w:r>
                              <w:rPr>
                                <w:rFonts w:ascii="仿宋" w:hAnsi="仿宋"/>
                                <w:lang w:bidi="en-US"/>
                              </w:rPr>
                              <w:t>1216</w:t>
                            </w:r>
                            <w:r>
                              <w:rPr>
                                <w:rFonts w:hint="eastAsia" w:ascii="仿宋" w:hAnsi="仿宋"/>
                                <w:lang w:bidi="en-US"/>
                              </w:rPr>
                              <w:t>9</w:t>
                            </w:r>
                            <w:r>
                              <w:rPr>
                                <w:rFonts w:ascii="仿宋" w:hAnsi="仿宋"/>
                                <w:lang w:bidi="en-US"/>
                              </w:rPr>
                              <w:t>公里</w:t>
                            </w:r>
                            <w:r>
                              <w:rPr>
                                <w:rFonts w:hint="eastAsia" w:ascii="仿宋" w:hAnsi="仿宋"/>
                                <w:lang w:bidi="en-US"/>
                              </w:rPr>
                              <w:t>，</w:t>
                            </w:r>
                            <w:r>
                              <w:rPr>
                                <w:rFonts w:ascii="仿宋" w:hAnsi="仿宋"/>
                                <w:lang w:bidi="en-US"/>
                              </w:rPr>
                              <w:t>2024年新增953公里，预计2025年还将有近1000公里新线路投入运营。</w:t>
                            </w:r>
                            <w:r>
                              <w:rPr>
                                <w:rFonts w:hint="eastAsia" w:ascii="仿宋" w:hAnsi="仿宋"/>
                                <w:szCs w:val="28"/>
                              </w:rPr>
                              <w:t>山东推进“轨道上的山东半岛城市群”建设，湛江东站规划站城一体化开发，北京丰台加快重点功能区建设促产城融合。</w:t>
                            </w:r>
                          </w:p>
                          <w:p w14:paraId="1CC05D55">
                            <w:pPr>
                              <w:pStyle w:val="32"/>
                              <w:numPr>
                                <w:ilvl w:val="0"/>
                                <w:numId w:val="1"/>
                              </w:numPr>
                              <w:ind w:left="0" w:firstLine="480"/>
                              <w:jc w:val="both"/>
                              <w:rPr>
                                <w:rFonts w:hint="eastAsia" w:ascii="仿宋" w:hAnsi="仿宋"/>
                                <w:szCs w:val="28"/>
                              </w:rPr>
                            </w:pPr>
                            <w:r>
                              <w:rPr>
                                <w:rFonts w:hint="eastAsia" w:ascii="仿宋" w:hAnsi="仿宋"/>
                                <w:szCs w:val="28"/>
                              </w:rPr>
                              <w:t>企业动态：12月六城12幅TOD地块成交，合肥轨道溢价获两幅城市更新地块，刷新合肥地价纪录；广州地铁、郑州轨道、南昌轨道均有斩获。广州地铁地产发布TOD产品“黄金五律”，转型为全面的生活方式服务商。无锡地铁与经开区签约贡湖湿地公园车辆段项目。</w:t>
                            </w:r>
                          </w:p>
                          <w:p w14:paraId="61B7C1EB">
                            <w:pPr>
                              <w:pStyle w:val="32"/>
                              <w:numPr>
                                <w:ilvl w:val="0"/>
                                <w:numId w:val="1"/>
                              </w:numPr>
                              <w:ind w:left="0" w:firstLine="480"/>
                              <w:jc w:val="both"/>
                              <w:rPr>
                                <w:rFonts w:hint="eastAsia" w:ascii="仿宋" w:hAnsi="仿宋"/>
                                <w:szCs w:val="28"/>
                              </w:rPr>
                            </w:pPr>
                            <w:r>
                              <w:rPr>
                                <w:rFonts w:hint="eastAsia" w:ascii="仿宋" w:hAnsi="仿宋"/>
                                <w:szCs w:val="28"/>
                              </w:rPr>
                              <w:t>项目动态：漳州、天津等多地TOD项目进展显著。漳州台商区首个TOD四代宅展厅开放，天津启动“养老+医疗+酒店”高铁TOD项目；上海开展环城北路车辆基地国际方案征集，苏州地铁6号线悬桥巷站城市更新TOD项目获设计大奖。</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2.35pt;margin-top:272.3pt;height:413.8pt;width:417.6pt;mso-position-horizontal-relative:margin;mso-position-vertical-relative:page;mso-wrap-distance-bottom:9.35pt;mso-wrap-distance-left:9pt;mso-wrap-distance-right:9pt;mso-wrap-distance-top:9.35pt;z-index:251665408;mso-width-relative:page;mso-height-relative:page;" fillcolor="#DAE3F3 [660]" filled="t" stroked="f" coordsize="21600,21600" o:allowincell="f" o:gfxdata="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2+T49kAAAALAQAADwAAAAAAAAABACAAAAAiAAAA&#10;ZHJzL2Rvd25yZXYueG1sUEsBAhQAFAAAAAgAh07iQEKDS6A/AgAAYgQAAA4AAAAAAAAAAQAgAAAA&#10;KAEAAGRycy9lMm9Eb2MueG1sUEsFBgAAAAAGAAYAWQEAANkFAAAAAA==&#10;">
                <v:fill on="t" focussize="0,0"/>
                <v:stroke on="f"/>
                <v:imagedata o:title=""/>
                <o:lock v:ext="edit" aspectratio="f"/>
                <v:textbox>
                  <w:txbxContent>
                    <w:p w14:paraId="7F1B4DBB">
                      <w:pPr>
                        <w:pStyle w:val="32"/>
                        <w:numPr>
                          <w:ilvl w:val="0"/>
                          <w:numId w:val="1"/>
                        </w:numPr>
                        <w:ind w:left="0" w:firstLine="480"/>
                        <w:jc w:val="both"/>
                        <w:rPr>
                          <w:rFonts w:hint="eastAsia" w:ascii="仿宋" w:hAnsi="仿宋"/>
                          <w:szCs w:val="28"/>
                        </w:rPr>
                      </w:pPr>
                      <w:r>
                        <w:rPr>
                          <w:rFonts w:hint="eastAsia" w:ascii="仿宋" w:hAnsi="仿宋"/>
                          <w:szCs w:val="28"/>
                        </w:rPr>
                        <w:t>政策动态：多省市发布TOD政策。南宁实施《TOD规划设计导则》，为站城融合规划建设提供指引；昆明实施详细规划技术准则，充分践行TOD开发理念；中办、国办发文鼓励社会资本参与交通基建，强化资源与资金支持。</w:t>
                      </w:r>
                    </w:p>
                    <w:p w14:paraId="15F5DB44">
                      <w:pPr>
                        <w:pStyle w:val="32"/>
                        <w:numPr>
                          <w:ilvl w:val="0"/>
                          <w:numId w:val="1"/>
                        </w:numPr>
                        <w:ind w:left="0" w:firstLine="480"/>
                        <w:jc w:val="both"/>
                        <w:rPr>
                          <w:rFonts w:hint="eastAsia" w:ascii="仿宋" w:hAnsi="仿宋"/>
                          <w:szCs w:val="28"/>
                        </w:rPr>
                      </w:pPr>
                      <w:r>
                        <w:rPr>
                          <w:rFonts w:hint="eastAsia" w:ascii="仿宋" w:hAnsi="仿宋"/>
                          <w:szCs w:val="28"/>
                        </w:rPr>
                        <w:t>行业动态：</w:t>
                      </w:r>
                      <w:r>
                        <w:rPr>
                          <w:rFonts w:ascii="仿宋" w:hAnsi="仿宋"/>
                          <w:lang w:bidi="en-US"/>
                        </w:rPr>
                        <w:t>截至2024年</w:t>
                      </w:r>
                      <w:r>
                        <w:rPr>
                          <w:rFonts w:hint="eastAsia" w:ascii="仿宋" w:hAnsi="仿宋"/>
                          <w:lang w:bidi="en-US"/>
                        </w:rPr>
                        <w:t>末</w:t>
                      </w:r>
                      <w:r>
                        <w:rPr>
                          <w:rFonts w:ascii="仿宋" w:hAnsi="仿宋"/>
                          <w:lang w:bidi="en-US"/>
                        </w:rPr>
                        <w:t>，中国内地5</w:t>
                      </w:r>
                      <w:r>
                        <w:rPr>
                          <w:rFonts w:hint="eastAsia" w:ascii="仿宋" w:hAnsi="仿宋"/>
                          <w:lang w:bidi="en-US"/>
                        </w:rPr>
                        <w:t>8城已运营362条城轨线路，</w:t>
                      </w:r>
                      <w:r>
                        <w:rPr>
                          <w:rFonts w:ascii="仿宋" w:hAnsi="仿宋"/>
                          <w:lang w:bidi="en-US"/>
                        </w:rPr>
                        <w:t>总长度</w:t>
                      </w:r>
                      <w:r>
                        <w:rPr>
                          <w:rFonts w:hint="eastAsia" w:ascii="仿宋" w:hAnsi="仿宋"/>
                          <w:lang w:bidi="en-US"/>
                        </w:rPr>
                        <w:t>达到</w:t>
                      </w:r>
                      <w:r>
                        <w:rPr>
                          <w:rFonts w:ascii="仿宋" w:hAnsi="仿宋"/>
                          <w:lang w:bidi="en-US"/>
                        </w:rPr>
                        <w:t>1216</w:t>
                      </w:r>
                      <w:r>
                        <w:rPr>
                          <w:rFonts w:hint="eastAsia" w:ascii="仿宋" w:hAnsi="仿宋"/>
                          <w:lang w:bidi="en-US"/>
                        </w:rPr>
                        <w:t>9</w:t>
                      </w:r>
                      <w:r>
                        <w:rPr>
                          <w:rFonts w:ascii="仿宋" w:hAnsi="仿宋"/>
                          <w:lang w:bidi="en-US"/>
                        </w:rPr>
                        <w:t>公里</w:t>
                      </w:r>
                      <w:r>
                        <w:rPr>
                          <w:rFonts w:hint="eastAsia" w:ascii="仿宋" w:hAnsi="仿宋"/>
                          <w:lang w:bidi="en-US"/>
                        </w:rPr>
                        <w:t>，</w:t>
                      </w:r>
                      <w:r>
                        <w:rPr>
                          <w:rFonts w:ascii="仿宋" w:hAnsi="仿宋"/>
                          <w:lang w:bidi="en-US"/>
                        </w:rPr>
                        <w:t>2024年新增953公里，预计2025年还将有近1000公里新线路投入运营。</w:t>
                      </w:r>
                      <w:r>
                        <w:rPr>
                          <w:rFonts w:hint="eastAsia" w:ascii="仿宋" w:hAnsi="仿宋"/>
                          <w:szCs w:val="28"/>
                        </w:rPr>
                        <w:t>山东推进“轨道上的山东半岛城市群”建设，湛江东站规划站城一体化开发，北京丰台加快重点功能区建设促产城融合。</w:t>
                      </w:r>
                    </w:p>
                    <w:p w14:paraId="1CC05D55">
                      <w:pPr>
                        <w:pStyle w:val="32"/>
                        <w:numPr>
                          <w:ilvl w:val="0"/>
                          <w:numId w:val="1"/>
                        </w:numPr>
                        <w:ind w:left="0" w:firstLine="480"/>
                        <w:jc w:val="both"/>
                        <w:rPr>
                          <w:rFonts w:hint="eastAsia" w:ascii="仿宋" w:hAnsi="仿宋"/>
                          <w:szCs w:val="28"/>
                        </w:rPr>
                      </w:pPr>
                      <w:r>
                        <w:rPr>
                          <w:rFonts w:hint="eastAsia" w:ascii="仿宋" w:hAnsi="仿宋"/>
                          <w:szCs w:val="28"/>
                        </w:rPr>
                        <w:t>企业动态：12月六城12幅TOD地块成交，合肥轨道溢价获两幅城市更新地块，刷新合肥地价纪录；广州地铁、郑州轨道、南昌轨道均有斩获。广州地铁地产发布TOD产品“黄金五律”，转型为全面的生活方式服务商。无锡地铁与经开区签约贡湖湿地公园车辆段项目。</w:t>
                      </w:r>
                    </w:p>
                    <w:p w14:paraId="61B7C1EB">
                      <w:pPr>
                        <w:pStyle w:val="32"/>
                        <w:numPr>
                          <w:ilvl w:val="0"/>
                          <w:numId w:val="1"/>
                        </w:numPr>
                        <w:ind w:left="0" w:firstLine="480"/>
                        <w:jc w:val="both"/>
                        <w:rPr>
                          <w:rFonts w:hint="eastAsia" w:ascii="仿宋" w:hAnsi="仿宋"/>
                          <w:szCs w:val="28"/>
                        </w:rPr>
                      </w:pPr>
                      <w:r>
                        <w:rPr>
                          <w:rFonts w:hint="eastAsia" w:ascii="仿宋" w:hAnsi="仿宋"/>
                          <w:szCs w:val="28"/>
                        </w:rPr>
                        <w:t>项目动态：漳州、天津等多地TOD项目进展显著。漳州台商区首个TOD四代宅展厅开放，天津启动“养老+医疗+酒店”高铁TOD项目；上海开展环城北路车辆基地国际方案征集，苏州地铁6号线悬桥巷站城市更新TOD项目获设计大奖。</w:t>
                      </w:r>
                    </w:p>
                  </w:txbxContent>
                </v:textbox>
                <w10:wrap type="square"/>
              </v:shape>
            </w:pict>
          </mc:Fallback>
        </mc:AlternateContent>
      </w:r>
      <w:r>
        <w:rPr>
          <w:rFonts w:ascii="仿宋" w:hAnsi="仿宋" w:cs="Times New Roman"/>
          <w:color w:val="5B9BD5" w:themeColor="accent5"/>
          <w:kern w:val="44"/>
          <w:sz w:val="28"/>
          <w14:textFill>
            <w14:solidFill>
              <w14:schemeClr w14:val="accent5"/>
            </w14:solidFill>
          </w14:textFill>
        </w:rPr>
        <w:t>摘要</w:t>
      </w:r>
      <w:bookmarkEnd w:id="4"/>
      <w:bookmarkEnd w:id="5"/>
      <w:bookmarkEnd w:id="6"/>
    </w:p>
    <w:p w14:paraId="23CF9C34">
      <w:pPr>
        <w:pStyle w:val="48"/>
        <w:ind w:firstLine="480"/>
        <w:rPr>
          <w:rFonts w:hint="eastAsia" w:ascii="仿宋" w:hAnsi="仿宋"/>
        </w:rPr>
        <w:sectPr>
          <w:pgSz w:w="11906" w:h="16838"/>
          <w:pgMar w:top="1440" w:right="1800" w:bottom="1440" w:left="1800" w:header="1474" w:footer="964" w:gutter="0"/>
          <w:pgNumType w:start="1"/>
          <w:cols w:space="425" w:num="1"/>
          <w:docGrid w:type="lines" w:linePitch="326" w:charSpace="0"/>
        </w:sectPr>
      </w:pPr>
    </w:p>
    <w:p w14:paraId="08517FA2">
      <w:pPr>
        <w:pStyle w:val="2"/>
        <w:keepLines/>
        <w:widowControl w:val="0"/>
        <w:spacing w:before="163" w:after="163"/>
        <w:jc w:val="center"/>
        <w:rPr>
          <w:rFonts w:hint="eastAsia" w:ascii="黑体" w:hAnsi="黑体" w:eastAsia="黑体" w:cs="Times New Roman"/>
          <w:color w:val="5B9BD5" w:themeColor="accent5"/>
          <w:kern w:val="44"/>
          <w:sz w:val="28"/>
          <w14:textFill>
            <w14:solidFill>
              <w14:schemeClr w14:val="accent5"/>
            </w14:solidFill>
          </w14:textFill>
        </w:rPr>
      </w:pPr>
      <w:bookmarkStart w:id="7" w:name="_Toc187665038"/>
      <w:r>
        <w:rPr>
          <w:rFonts w:hint="eastAsia" w:ascii="黑体" w:hAnsi="黑体" w:eastAsia="黑体" w:cs="Times New Roman"/>
          <w:color w:val="5B9BD5" w:themeColor="accent5"/>
          <w:kern w:val="44"/>
          <w:sz w:val="28"/>
          <w14:textFill>
            <w14:solidFill>
              <w14:schemeClr w14:val="accent5"/>
            </w14:solidFill>
          </w14:textFill>
        </w:rPr>
        <w:t>一</w:t>
      </w:r>
      <w:r>
        <w:rPr>
          <w:rFonts w:ascii="黑体" w:hAnsi="黑体" w:eastAsia="黑体" w:cs="Times New Roman"/>
          <w:color w:val="5B9BD5" w:themeColor="accent5"/>
          <w:kern w:val="44"/>
          <w:sz w:val="28"/>
          <w14:textFill>
            <w14:solidFill>
              <w14:schemeClr w14:val="accent5"/>
            </w14:solidFill>
          </w14:textFill>
        </w:rPr>
        <w:t>、政策动态</w:t>
      </w:r>
      <w:bookmarkEnd w:id="7"/>
    </w:p>
    <w:p w14:paraId="1BD7814F">
      <w:pPr>
        <w:pStyle w:val="2"/>
        <w:numPr>
          <w:ilvl w:val="0"/>
          <w:numId w:val="2"/>
        </w:numPr>
        <w:tabs>
          <w:tab w:val="left" w:pos="360"/>
        </w:tabs>
        <w:ind w:left="0" w:firstLine="0"/>
        <w:rPr>
          <w:rFonts w:hint="eastAsia" w:ascii="仿宋" w:hAnsi="仿宋" w:cs="Arial"/>
          <w:color w:val="222222"/>
          <w:shd w:val="clear" w:color="auto" w:fill="FFFFFF"/>
          <w:lang w:bidi="ar"/>
        </w:rPr>
      </w:pPr>
      <w:bookmarkStart w:id="8" w:name="_Toc187665039"/>
      <w:bookmarkStart w:id="9" w:name="_Hlk163551680"/>
      <w:r>
        <w:rPr>
          <w:rFonts w:hint="eastAsia" w:ascii="仿宋" w:hAnsi="仿宋" w:cs="Arial"/>
          <w:color w:val="222222"/>
          <w:shd w:val="clear" w:color="auto" w:fill="FFFFFF"/>
          <w:lang w:bidi="ar"/>
        </w:rPr>
        <w:t>《南宁市TOD规划设计导则》发布，引导构建站城融合空间</w:t>
      </w:r>
      <w:bookmarkEnd w:id="8"/>
    </w:p>
    <w:p w14:paraId="4B1751AC">
      <w:pPr>
        <w:pStyle w:val="48"/>
        <w:ind w:firstLine="480"/>
        <w:rPr>
          <w:rFonts w:hint="eastAsia" w:ascii="仿宋" w:hAnsi="仿宋"/>
          <w:lang w:bidi="en-US"/>
        </w:rPr>
      </w:pPr>
      <w:r>
        <w:rPr>
          <w:rFonts w:hint="eastAsia" w:ascii="仿宋" w:hAnsi="仿宋"/>
          <w:lang w:bidi="en-US"/>
        </w:rPr>
        <w:t>近日，由南宁市自然资源局组织编制的《南宁市TOD规划设计导则》（以下简称《导则》）获市人民政府批复。《导则》贯彻落实国土空间规划发展目标和TOD城市发展理念，其成果涵盖了TOD规划体系、TOD规划要点、站点一体化规划设计、车辆基地综合开发规划设计、轨道交通上盖物业开发建设、实施管理等内容。《导则》的获批对指导南宁市推进城市空间治理体系和治理能力现代化，统筹协调城市轨道交通设施及周边地区多层次、多维度的空间规划设计，引导城市轨道沿线地区的规划与建设，构建安全、便捷、高效、绿色、共享的站城融合空间，实现城市轨道交通设施周边地区环境高品质和多元利益协同具有重要意义。</w:t>
      </w:r>
    </w:p>
    <w:p w14:paraId="48B50D7D">
      <w:pPr>
        <w:pStyle w:val="2"/>
        <w:numPr>
          <w:ilvl w:val="0"/>
          <w:numId w:val="2"/>
        </w:numPr>
        <w:tabs>
          <w:tab w:val="left" w:pos="360"/>
        </w:tabs>
        <w:ind w:left="0" w:firstLine="0"/>
        <w:rPr>
          <w:rFonts w:hint="eastAsia" w:ascii="仿宋" w:hAnsi="仿宋" w:cs="Arial"/>
          <w:color w:val="222222"/>
          <w:shd w:val="clear" w:color="auto" w:fill="FFFFFF"/>
          <w:lang w:bidi="ar"/>
        </w:rPr>
      </w:pPr>
      <w:bookmarkStart w:id="10" w:name="_Toc187665040"/>
      <w:r>
        <w:rPr>
          <w:rFonts w:hint="eastAsia" w:ascii="仿宋" w:hAnsi="仿宋" w:cs="Arial"/>
          <w:color w:val="222222"/>
          <w:shd w:val="clear" w:color="auto" w:fill="FFFFFF"/>
          <w:lang w:bidi="ar"/>
        </w:rPr>
        <w:t>《昆明市详细规划技术准则（试行）》正式实施，充分践行TOD开发理念</w:t>
      </w:r>
      <w:bookmarkEnd w:id="10"/>
    </w:p>
    <w:p w14:paraId="6660A5CC">
      <w:pPr>
        <w:pStyle w:val="48"/>
        <w:ind w:firstLine="480"/>
        <w:rPr>
          <w:rFonts w:hint="eastAsia" w:ascii="仿宋" w:hAnsi="仿宋"/>
          <w:lang w:bidi="en-US"/>
        </w:rPr>
      </w:pPr>
      <w:r>
        <w:rPr>
          <w:rFonts w:hint="eastAsia" w:ascii="仿宋" w:hAnsi="仿宋"/>
          <w:lang w:bidi="en-US"/>
        </w:rPr>
        <w:t>12月12日，昆明自规局发布《昆明市详细规划技术准则（试行）》文件，将昆明划定为五个强度分区，并制定容积率上限，最高不超3.1。新版《技术准则》出台的目的，主要是推动城市高质量发展，提高城市景观风貌和居住品质，充分践行TOD开发理念。《技术准则》</w:t>
      </w:r>
      <w:r>
        <w:rPr>
          <w:rFonts w:ascii="仿宋" w:hAnsi="仿宋"/>
          <w:lang w:bidi="en-US"/>
        </w:rPr>
        <w:t>鼓励土地混合使用，提高城市活力。推进居住与就业相对均衡布局，减少远距离通勤交通。强化城市商业、商务金融、居住、文化、街道级公共服务设施、社区级公共服务设施等服务功能与轨道站点的有效衔接，形成功能复合的公共活动中心区。</w:t>
      </w:r>
      <w:r>
        <w:rPr>
          <w:rFonts w:hint="eastAsia" w:ascii="仿宋" w:hAnsi="仿宋"/>
          <w:lang w:bidi="en-US"/>
        </w:rPr>
        <w:t>《技术准则》</w:t>
      </w:r>
      <w:r>
        <w:rPr>
          <w:rFonts w:ascii="仿宋" w:hAnsi="仿宋"/>
          <w:lang w:bidi="en-US"/>
        </w:rPr>
        <w:t>倡导以TOD为导向的城市空间发展模式，适度提高轨道交通站点周边的土地开发强度，促进土地资源集约高效复合利用，引导人口与就业岗位向轨道站点周边集聚，提高城市运行效率。</w:t>
      </w:r>
    </w:p>
    <w:p w14:paraId="7F261B9F">
      <w:pPr>
        <w:pStyle w:val="2"/>
        <w:numPr>
          <w:ilvl w:val="0"/>
          <w:numId w:val="2"/>
        </w:numPr>
        <w:tabs>
          <w:tab w:val="left" w:pos="360"/>
        </w:tabs>
        <w:ind w:left="0" w:firstLine="0"/>
        <w:rPr>
          <w:rFonts w:hint="eastAsia" w:ascii="仿宋" w:hAnsi="仿宋" w:cs="Arial"/>
          <w:color w:val="222222"/>
          <w:shd w:val="clear" w:color="auto" w:fill="FFFFFF"/>
          <w:lang w:bidi="ar"/>
        </w:rPr>
      </w:pPr>
      <w:bookmarkStart w:id="11" w:name="_Toc187665041"/>
      <w:r>
        <w:rPr>
          <w:rFonts w:hint="eastAsia" w:ascii="仿宋" w:hAnsi="仿宋" w:cs="Arial"/>
          <w:color w:val="222222"/>
          <w:shd w:val="clear" w:color="auto" w:fill="FFFFFF"/>
          <w:lang w:bidi="ar"/>
        </w:rPr>
        <w:t>《郑州市城市轨道交通线网规划（2021—2035年）》最新公示</w:t>
      </w:r>
      <w:bookmarkEnd w:id="11"/>
    </w:p>
    <w:p w14:paraId="087A8881">
      <w:pPr>
        <w:pStyle w:val="48"/>
        <w:ind w:firstLine="480"/>
        <w:rPr>
          <w:rFonts w:hint="eastAsia" w:ascii="仿宋" w:hAnsi="仿宋"/>
          <w:lang w:bidi="en-US"/>
        </w:rPr>
      </w:pPr>
      <w:r>
        <w:rPr>
          <w:rFonts w:ascii="仿宋" w:hAnsi="仿宋"/>
          <w:lang w:bidi="en-US"/>
        </w:rPr>
        <w:t>12月18日，郑州市自然资源和规划局公示《郑州市城市轨道交通线网规划（2021—2035年）》，为郑州地铁线路走向提供了具有支撑和引导作用的发展规划，规划范围为郑州市域，规划年限为远期2035年、远景2050年。郑州市城市轨道交通线网规划发展目标是以“轨道上的郑州”为总目标，构建开放式、多层次、一体化的轨道交通系统，支撑“多中心、网络化、组团式、集约型”的城市空间结构，满足居民多样化的出行需求，形成城市客运交通体系的主体。其中，主城区轨道站点800米半径覆盖60%的人口岗位；航空港区轨道站点800米半径覆盖30%的人口岗位。TOD导向</w:t>
      </w:r>
      <w:r>
        <w:rPr>
          <w:rFonts w:hint="eastAsia" w:ascii="仿宋" w:hAnsi="仿宋"/>
          <w:lang w:bidi="en-US"/>
        </w:rPr>
        <w:t>,</w:t>
      </w:r>
      <w:r>
        <w:rPr>
          <w:rFonts w:ascii="仿宋" w:hAnsi="仿宋"/>
          <w:lang w:bidi="en-US"/>
        </w:rPr>
        <w:t>以轨道建设推动城市结构优化，“人跟线走”和“线跟人走”相结合。重点加强对核心板块的轨道交通支撑。远期2035年</w:t>
      </w:r>
      <w:r>
        <w:rPr>
          <w:rFonts w:hint="eastAsia" w:ascii="仿宋" w:hAnsi="仿宋"/>
          <w:lang w:bidi="en-US"/>
        </w:rPr>
        <w:t>,规划</w:t>
      </w:r>
      <w:r>
        <w:rPr>
          <w:rFonts w:ascii="仿宋" w:hAnsi="仿宋"/>
          <w:lang w:bidi="en-US"/>
        </w:rPr>
        <w:t>线网总里程约1260km，22条线路。其中，快A线3条，快B线5条，普线14条。</w:t>
      </w:r>
    </w:p>
    <w:p w14:paraId="25525A25">
      <w:pPr>
        <w:pStyle w:val="2"/>
        <w:numPr>
          <w:ilvl w:val="0"/>
          <w:numId w:val="2"/>
        </w:numPr>
        <w:tabs>
          <w:tab w:val="left" w:pos="360"/>
        </w:tabs>
        <w:ind w:left="0" w:firstLine="0"/>
        <w:rPr>
          <w:rFonts w:hint="eastAsia" w:ascii="仿宋" w:hAnsi="仿宋" w:cs="Arial"/>
          <w:color w:val="222222"/>
          <w:shd w:val="clear" w:color="auto" w:fill="FFFFFF"/>
          <w:lang w:bidi="ar"/>
        </w:rPr>
      </w:pPr>
      <w:bookmarkStart w:id="12" w:name="_Toc187665042"/>
      <w:r>
        <w:rPr>
          <w:rFonts w:hint="eastAsia" w:ascii="仿宋" w:hAnsi="仿宋" w:cs="Arial"/>
          <w:color w:val="222222"/>
          <w:shd w:val="clear" w:color="auto" w:fill="FFFFFF"/>
          <w:lang w:bidi="ar"/>
        </w:rPr>
        <w:t>《</w:t>
      </w:r>
      <w:r>
        <w:rPr>
          <w:rFonts w:ascii="仿宋" w:hAnsi="仿宋" w:cs="Arial"/>
          <w:color w:val="222222"/>
          <w:shd w:val="clear" w:color="auto" w:fill="FFFFFF"/>
          <w:lang w:bidi="ar"/>
        </w:rPr>
        <w:t>交通强国山东示范区建设方案（2025—2035年）》印发实施</w:t>
      </w:r>
      <w:bookmarkEnd w:id="12"/>
    </w:p>
    <w:p w14:paraId="1D461866">
      <w:pPr>
        <w:pStyle w:val="48"/>
        <w:ind w:firstLine="480"/>
        <w:rPr>
          <w:rFonts w:hint="eastAsia" w:ascii="仿宋" w:hAnsi="仿宋"/>
          <w:lang w:bidi="en-US"/>
        </w:rPr>
      </w:pPr>
      <w:r>
        <w:rPr>
          <w:rFonts w:ascii="仿宋" w:hAnsi="仿宋"/>
          <w:lang w:bidi="en-US"/>
        </w:rPr>
        <w:t>12月19日，从山东省人民政府政策例行吹风会获悉，《交通强国山东示范区建设方案（2025—2035年）》（简称《建设方案》）已正式印发实施。《建设方案》对未来十年交通强国山东示范区建设进行了科学谋划和顶层设计，进一步优化政策供给和要素保障，将有力推动山东交通运输高质量发展。《建设方案》提出，将率先建成“三个样板”和实施十大示范引领性工程。到2035年，率先建成交通强国示范区，基本形成现代化基础设施体系和物流体系，主要发展指标达到国内领先、世界一流。</w:t>
      </w:r>
    </w:p>
    <w:p w14:paraId="4096EA04">
      <w:pPr>
        <w:pStyle w:val="2"/>
        <w:numPr>
          <w:ilvl w:val="0"/>
          <w:numId w:val="2"/>
        </w:numPr>
        <w:tabs>
          <w:tab w:val="left" w:pos="360"/>
        </w:tabs>
        <w:ind w:left="0" w:firstLine="0"/>
        <w:rPr>
          <w:rFonts w:hint="eastAsia" w:ascii="仿宋" w:hAnsi="仿宋" w:cs="Arial"/>
          <w:color w:val="222222"/>
          <w:shd w:val="clear" w:color="auto" w:fill="FFFFFF"/>
          <w:lang w:bidi="ar"/>
        </w:rPr>
      </w:pPr>
      <w:bookmarkStart w:id="13" w:name="_Toc187665043"/>
      <w:r>
        <w:rPr>
          <w:rFonts w:hint="eastAsia" w:ascii="仿宋" w:hAnsi="仿宋" w:cs="Arial"/>
          <w:color w:val="222222"/>
          <w:shd w:val="clear" w:color="auto" w:fill="FFFFFF"/>
          <w:lang w:bidi="ar"/>
        </w:rPr>
        <w:t>中办、国办鼓励和引导社会资本依法依规参与交通基础设施建设融资</w:t>
      </w:r>
      <w:bookmarkEnd w:id="13"/>
    </w:p>
    <w:p w14:paraId="2E75EE20">
      <w:pPr>
        <w:pStyle w:val="48"/>
        <w:ind w:firstLine="480"/>
        <w:rPr>
          <w:rFonts w:hint="eastAsia" w:ascii="仿宋" w:hAnsi="仿宋"/>
          <w:lang w:bidi="en-US"/>
        </w:rPr>
      </w:pPr>
      <w:r>
        <w:rPr>
          <w:rFonts w:hint="eastAsia" w:ascii="仿宋" w:hAnsi="仿宋"/>
          <w:lang w:bidi="en-US"/>
        </w:rPr>
        <w:t>12月23日，中办、国办发布《关于加快建设统一开放的交通运输市场的意见》（以下简称《意见》）。《意见》其中提出优化交通运输市场要素资源配置。加强部门和地方工作协同，按规定强化交通运输重大项目的用地、用海、用能等资源要素保障。优化铁路场站、公路场站、港口、机场、城市公共交通场站等相邻设施功能定位，统筹推动交通基础设施与能源等基础设施空间整合、共建共享。深化交通投融资改革，完善铁路、邮政、城市公共交通等领域的资金政策和管理权责。鼓励各类金融机构、社会资本</w:t>
      </w:r>
      <w:bookmarkStart w:id="14" w:name="_Hlk186831356"/>
      <w:r>
        <w:rPr>
          <w:rFonts w:hint="eastAsia" w:ascii="仿宋" w:hAnsi="仿宋"/>
          <w:lang w:bidi="en-US"/>
        </w:rPr>
        <w:t>依法依规参与交通基础设施建设融资</w:t>
      </w:r>
      <w:bookmarkEnd w:id="14"/>
      <w:r>
        <w:rPr>
          <w:rFonts w:hint="eastAsia" w:ascii="仿宋" w:hAnsi="仿宋"/>
          <w:lang w:bidi="en-US"/>
        </w:rPr>
        <w:t>。支持符合条件的交通项目发行基础设施领域不动产投资信托基金（REITs），研究长期融资工具支持交通运输发展。鼓励社会资本按照市场化法治化原则设立多式联运、交通运输绿色低碳发展等产业投资基金。</w:t>
      </w:r>
    </w:p>
    <w:bookmarkEnd w:id="9"/>
    <w:p w14:paraId="5755AA59">
      <w:pPr>
        <w:ind w:firstLine="480"/>
        <w:rPr>
          <w:rFonts w:hint="eastAsia" w:ascii="仿宋" w:hAnsi="仿宋"/>
        </w:rPr>
        <w:sectPr>
          <w:headerReference r:id="rId12" w:type="default"/>
          <w:pgSz w:w="11906" w:h="16838"/>
          <w:pgMar w:top="1440" w:right="1800" w:bottom="1440" w:left="1800" w:header="1474" w:footer="964" w:gutter="0"/>
          <w:cols w:space="425" w:num="1"/>
          <w:docGrid w:type="lines" w:linePitch="326" w:charSpace="0"/>
        </w:sectPr>
      </w:pPr>
    </w:p>
    <w:p w14:paraId="4BA5F5A2">
      <w:pPr>
        <w:pStyle w:val="2"/>
        <w:keepLines/>
        <w:widowControl w:val="0"/>
        <w:spacing w:before="163" w:after="163"/>
        <w:jc w:val="center"/>
        <w:rPr>
          <w:rFonts w:hint="eastAsia" w:ascii="黑体" w:hAnsi="黑体" w:eastAsia="黑体" w:cs="Times New Roman"/>
          <w:color w:val="5B9BD5" w:themeColor="accent5"/>
          <w:kern w:val="44"/>
          <w:sz w:val="28"/>
          <w14:textFill>
            <w14:solidFill>
              <w14:schemeClr w14:val="accent5"/>
            </w14:solidFill>
          </w14:textFill>
        </w:rPr>
      </w:pPr>
      <w:bookmarkStart w:id="15" w:name="_Toc187665044"/>
      <w:r>
        <w:rPr>
          <w:rFonts w:hint="eastAsia" w:ascii="黑体" w:hAnsi="黑体" w:eastAsia="黑体" w:cs="Times New Roman"/>
          <w:color w:val="5B9BD5" w:themeColor="accent5"/>
          <w:kern w:val="44"/>
          <w:sz w:val="28"/>
          <w14:textFill>
            <w14:solidFill>
              <w14:schemeClr w14:val="accent5"/>
            </w14:solidFill>
          </w14:textFill>
        </w:rPr>
        <w:t>二</w:t>
      </w:r>
      <w:r>
        <w:rPr>
          <w:rFonts w:ascii="黑体" w:hAnsi="黑体" w:eastAsia="黑体" w:cs="Times New Roman"/>
          <w:color w:val="5B9BD5" w:themeColor="accent5"/>
          <w:kern w:val="44"/>
          <w:sz w:val="28"/>
          <w14:textFill>
            <w14:solidFill>
              <w14:schemeClr w14:val="accent5"/>
            </w14:solidFill>
          </w14:textFill>
        </w:rPr>
        <w:t>、行业动态</w:t>
      </w:r>
      <w:bookmarkEnd w:id="15"/>
    </w:p>
    <w:p w14:paraId="3CDCCE4A">
      <w:pPr>
        <w:pStyle w:val="2"/>
        <w:numPr>
          <w:ilvl w:val="0"/>
          <w:numId w:val="3"/>
        </w:numPr>
        <w:rPr>
          <w:rFonts w:hint="eastAsia" w:ascii="仿宋" w:hAnsi="仿宋" w:cs="Arial"/>
          <w:color w:val="222222"/>
          <w:kern w:val="0"/>
          <w:szCs w:val="24"/>
          <w:shd w:val="clear" w:color="auto" w:fill="FFFFFF"/>
          <w:lang w:bidi="ar"/>
        </w:rPr>
      </w:pPr>
      <w:bookmarkStart w:id="16" w:name="_Toc187665045"/>
      <w:r>
        <w:rPr>
          <w:rFonts w:hint="eastAsia" w:ascii="仿宋" w:hAnsi="仿宋" w:cs="Arial"/>
          <w:color w:val="222222"/>
          <w:kern w:val="0"/>
          <w:szCs w:val="24"/>
          <w:shd w:val="clear" w:color="auto" w:fill="FFFFFF"/>
          <w:lang w:bidi="ar"/>
        </w:rPr>
        <w:t>交通强国山东示范区建设推进会议召开，建设</w:t>
      </w:r>
      <w:r>
        <w:rPr>
          <w:rFonts w:hint="eastAsia" w:ascii="仿宋" w:hAnsi="仿宋"/>
          <w:lang w:bidi="en-US"/>
        </w:rPr>
        <w:t>“轨道上的山东半岛城市群”</w:t>
      </w:r>
      <w:bookmarkEnd w:id="16"/>
    </w:p>
    <w:p w14:paraId="0086D207">
      <w:pPr>
        <w:pStyle w:val="48"/>
        <w:ind w:firstLine="480"/>
        <w:rPr>
          <w:rFonts w:hint="eastAsia" w:ascii="仿宋" w:hAnsi="仿宋"/>
          <w:lang w:bidi="en-US"/>
        </w:rPr>
      </w:pPr>
      <w:r>
        <w:rPr>
          <w:rFonts w:hint="eastAsia" w:ascii="仿宋" w:hAnsi="仿宋"/>
          <w:lang w:bidi="en-US"/>
        </w:rPr>
        <w:t>12月5日下午，交通强国山东示范区建设推进会议在济南召开。会议研究部署进一步加快交通强国山东示范区建设重点任务，推动各项工作再提速、再提效，为谱写中国式现代化山东篇章提供有力支撑，为加快建设交通强国作出山东贡献。会议强调，加快建设交通强国山东示范区，要锚定“走在前、挑大梁”，聚焦在互联互通、流通服务、智慧智能、绿色低碳、现代治理上作示范，以全球视野高标准、高定位谋划推进示范区建设各项工作，推动全省交通运输高质量发展迈上新台阶。</w:t>
      </w:r>
      <w:bookmarkStart w:id="17" w:name="_Hlk186829874"/>
      <w:r>
        <w:rPr>
          <w:rFonts w:hint="eastAsia" w:ascii="仿宋" w:hAnsi="仿宋"/>
          <w:lang w:bidi="en-US"/>
        </w:rPr>
        <w:t>要在打造“轨道上的山东半岛城市群”上加力突破</w:t>
      </w:r>
      <w:bookmarkEnd w:id="17"/>
      <w:r>
        <w:rPr>
          <w:rFonts w:hint="eastAsia" w:ascii="仿宋" w:hAnsi="仿宋"/>
          <w:lang w:bidi="en-US"/>
        </w:rPr>
        <w:t>，尽快形成高速铁路网络优势，着力推动货运铁路联网补网强链，加快城市轨道交通网络建设。</w:t>
      </w:r>
    </w:p>
    <w:p w14:paraId="768ABB3C">
      <w:pPr>
        <w:pStyle w:val="2"/>
        <w:numPr>
          <w:ilvl w:val="0"/>
          <w:numId w:val="3"/>
        </w:numPr>
        <w:rPr>
          <w:rFonts w:hint="eastAsia" w:ascii="仿宋" w:hAnsi="仿宋" w:cs="Arial"/>
          <w:color w:val="222222"/>
          <w:kern w:val="0"/>
          <w:szCs w:val="24"/>
          <w:shd w:val="clear" w:color="auto" w:fill="FFFFFF"/>
          <w:lang w:bidi="ar"/>
        </w:rPr>
      </w:pPr>
      <w:bookmarkStart w:id="18" w:name="_Toc187665046"/>
      <w:r>
        <w:rPr>
          <w:rFonts w:ascii="仿宋" w:hAnsi="仿宋" w:cs="Arial"/>
          <w:color w:val="222222"/>
          <w:kern w:val="0"/>
          <w:szCs w:val="24"/>
          <w:shd w:val="clear" w:color="auto" w:fill="FFFFFF"/>
          <w:lang w:bidi="ar"/>
        </w:rPr>
        <w:t>湛江东站</w:t>
      </w:r>
      <w:r>
        <w:rPr>
          <w:rFonts w:hint="eastAsia" w:ascii="仿宋" w:hAnsi="仿宋" w:cs="Arial"/>
          <w:color w:val="222222"/>
          <w:kern w:val="0"/>
          <w:szCs w:val="24"/>
          <w:shd w:val="clear" w:color="auto" w:fill="FFFFFF"/>
          <w:lang w:bidi="ar"/>
        </w:rPr>
        <w:t>规划</w:t>
      </w:r>
      <w:r>
        <w:rPr>
          <w:rFonts w:ascii="仿宋" w:hAnsi="仿宋" w:cs="Arial"/>
          <w:color w:val="222222"/>
          <w:kern w:val="0"/>
          <w:szCs w:val="24"/>
          <w:shd w:val="clear" w:color="auto" w:fill="FFFFFF"/>
          <w:lang w:bidi="ar"/>
        </w:rPr>
        <w:t>站城一体化开发</w:t>
      </w:r>
      <w:bookmarkEnd w:id="18"/>
    </w:p>
    <w:p w14:paraId="4F921DFF">
      <w:pPr>
        <w:pStyle w:val="48"/>
        <w:ind w:firstLine="480"/>
        <w:rPr>
          <w:rFonts w:hint="eastAsia" w:ascii="仿宋" w:hAnsi="仿宋"/>
          <w:lang w:bidi="en-US"/>
        </w:rPr>
      </w:pPr>
      <w:r>
        <w:rPr>
          <w:rFonts w:hint="eastAsia" w:ascii="仿宋" w:hAnsi="仿宋"/>
          <w:lang w:bidi="en-US"/>
        </w:rPr>
        <w:t>12月10日，</w:t>
      </w:r>
      <w:r>
        <w:rPr>
          <w:rFonts w:ascii="仿宋" w:hAnsi="仿宋"/>
          <w:lang w:bidi="en-US"/>
        </w:rPr>
        <w:t>《湛江市坡头区坡头镇控制性详细规划》PT-05管理单元修编已经湛江市人民政府批准实施。推动广湛铁路湛江东站建设，实现站城-一体化开发，提高城市土地开发建设的经济效益，需对《湛江市坡头区坡头镇控制性详细规划》PT-05管理单元进行规划调整。规划范围位于坡头区坡头镇中部，西临373省道，东临121乡道，总面积为38.45公顷，包含麻登村委会和岑霞村委会。功能定位</w:t>
      </w:r>
      <w:r>
        <w:rPr>
          <w:rFonts w:hint="eastAsia" w:ascii="仿宋" w:hAnsi="仿宋"/>
          <w:lang w:bidi="en-US"/>
        </w:rPr>
        <w:t>：</w:t>
      </w:r>
      <w:r>
        <w:rPr>
          <w:rFonts w:ascii="仿宋" w:hAnsi="仿宋"/>
          <w:lang w:bidi="en-US"/>
        </w:rPr>
        <w:t>结合湛江东站开发，发展商业商贸和品质居住等功能，拟建设湛江东站交通配套、商务酒店、品质住区、公园绿地等设施。规划区内建设用地38.45公顷，其中商业/二类城镇住宅混合用地面积7.17公顷。</w:t>
      </w:r>
    </w:p>
    <w:p w14:paraId="4C8DA937">
      <w:pPr>
        <w:pStyle w:val="2"/>
        <w:numPr>
          <w:ilvl w:val="0"/>
          <w:numId w:val="3"/>
        </w:numPr>
        <w:rPr>
          <w:rFonts w:hint="eastAsia" w:ascii="仿宋" w:hAnsi="仿宋" w:cs="Arial"/>
          <w:color w:val="222222"/>
          <w:kern w:val="0"/>
          <w:szCs w:val="24"/>
          <w:shd w:val="clear" w:color="auto" w:fill="FFFFFF"/>
          <w:lang w:bidi="ar"/>
        </w:rPr>
      </w:pPr>
      <w:bookmarkStart w:id="19" w:name="_Toc187665047"/>
      <w:r>
        <w:rPr>
          <w:rFonts w:hint="eastAsia" w:ascii="仿宋" w:hAnsi="仿宋" w:cs="Arial"/>
          <w:color w:val="222222"/>
          <w:kern w:val="0"/>
          <w:szCs w:val="24"/>
          <w:shd w:val="clear" w:color="auto" w:fill="FFFFFF"/>
          <w:lang w:bidi="ar"/>
        </w:rPr>
        <w:t>《温州市轨道交通场站一体化城市设计导则》通过中间成果审查</w:t>
      </w:r>
      <w:bookmarkEnd w:id="19"/>
    </w:p>
    <w:p w14:paraId="59612B6E">
      <w:pPr>
        <w:pStyle w:val="48"/>
        <w:ind w:firstLine="480"/>
        <w:rPr>
          <w:rFonts w:hint="eastAsia" w:ascii="仿宋" w:hAnsi="仿宋"/>
          <w:lang w:bidi="en-US"/>
        </w:rPr>
      </w:pPr>
      <w:r>
        <w:rPr>
          <w:rFonts w:hint="eastAsia" w:ascii="仿宋" w:hAnsi="仿宋"/>
          <w:lang w:bidi="en-US"/>
        </w:rPr>
        <w:t>12月12日下午，由温州市铁投集团置业公司牵头编制的《温州市轨道交通场站一体化城市设计导则》（以下简称《导则》）顺利通过市资规局组织的中间成果审查。《导则》深入分析了站点分级分类、空间范围划定、用地布局、城市形态、地下空间利用，交通、附属设施和空间一体化，人性化与高质量设计和管控要点等方面，有效指导温州轨道交通沿线地区的规划与设计工作，推动城市空间治理体系和治理能力现代化进程。同时，通过统筹协调城市轨道交通设施周边地区的多层次、多维度空间规划与设计，实现轨道沿线地区的环境品质提升和多元利益协同。《导则》对温州市轨道交通TOD综合开发高水平规划和高品质建设具有重要现实指导意义。</w:t>
      </w:r>
    </w:p>
    <w:p w14:paraId="4D72BA0B">
      <w:pPr>
        <w:pStyle w:val="2"/>
        <w:numPr>
          <w:ilvl w:val="0"/>
          <w:numId w:val="3"/>
        </w:numPr>
        <w:rPr>
          <w:rFonts w:hint="eastAsia" w:ascii="仿宋" w:hAnsi="仿宋" w:cs="Arial"/>
          <w:color w:val="222222"/>
          <w:kern w:val="0"/>
          <w:szCs w:val="24"/>
          <w:shd w:val="clear" w:color="auto" w:fill="FFFFFF"/>
          <w:lang w:bidi="ar"/>
        </w:rPr>
      </w:pPr>
      <w:bookmarkStart w:id="20" w:name="_Toc187665048"/>
      <w:r>
        <w:rPr>
          <w:rFonts w:hint="eastAsia" w:ascii="仿宋" w:hAnsi="仿宋" w:cs="Arial"/>
          <w:color w:val="222222"/>
          <w:kern w:val="0"/>
          <w:szCs w:val="24"/>
          <w:shd w:val="clear" w:color="auto" w:fill="FFFFFF"/>
          <w:lang w:bidi="ar"/>
        </w:rPr>
        <w:t>台州湾新区的云湖片区规划公示，未来会在地铁上盖住宅商业等物业</w:t>
      </w:r>
      <w:bookmarkEnd w:id="20"/>
    </w:p>
    <w:p w14:paraId="18E0E61D">
      <w:pPr>
        <w:pStyle w:val="48"/>
        <w:ind w:firstLine="480"/>
        <w:rPr>
          <w:rFonts w:hint="eastAsia" w:ascii="仿宋" w:hAnsi="仿宋"/>
          <w:lang w:bidi="en-US"/>
        </w:rPr>
      </w:pPr>
      <w:r>
        <w:rPr>
          <w:rFonts w:ascii="仿宋" w:hAnsi="仿宋"/>
          <w:lang w:bidi="en-US"/>
        </w:rPr>
        <w:t>近日，《台州湾新区云湖核心区规划及启动区实施方案》经市规划委员会2024年第三次会议研究通过。会议强调，中央创新区是台州湾科创走廊核心区，云湖片区位于核心区的中心，是区块开发的重中之重。要坚持科学定位，强化业态布局，加快项目建设，打造标志性工程，不断提升区域创新能级和发展活力。台州湾新区云湖核心区规划设计范围东至疏港大道、南至一江山大道、西至机场路、北至体育场路，规划总用地面积约143.55公顷。规划以打造科创智芯为目标，以金融创投为发展思路，首创“XOD模式”设计理念，精准复合云湖核心区各种需求，打造融科研、办公、文化、商业、居住功能为一体的高品质科创综合区。以市域铁路为基础做TOD引导，地下空间环通，结合轨交站点设置地铁上盖的中央创新区智慧综合体，并引入商业、文娱、停车、展示等功能进行地下空间综合立体开发，形成多个高价值综合开发板块。</w:t>
      </w:r>
    </w:p>
    <w:p w14:paraId="7AE20058">
      <w:pPr>
        <w:pStyle w:val="2"/>
        <w:numPr>
          <w:ilvl w:val="0"/>
          <w:numId w:val="3"/>
        </w:numPr>
        <w:rPr>
          <w:rFonts w:hint="eastAsia" w:ascii="仿宋" w:hAnsi="仿宋" w:cs="Arial"/>
          <w:color w:val="222222"/>
          <w:kern w:val="0"/>
          <w:szCs w:val="24"/>
          <w:shd w:val="clear" w:color="auto" w:fill="FFFFFF"/>
          <w:lang w:bidi="ar"/>
        </w:rPr>
      </w:pPr>
      <w:bookmarkStart w:id="21" w:name="_Toc187665049"/>
      <w:r>
        <w:rPr>
          <w:rFonts w:hint="eastAsia" w:ascii="仿宋" w:hAnsi="仿宋" w:cs="Arial"/>
          <w:color w:val="222222"/>
          <w:kern w:val="0"/>
          <w:szCs w:val="24"/>
          <w:shd w:val="clear" w:color="auto" w:fill="FFFFFF"/>
          <w:lang w:bidi="ar"/>
        </w:rPr>
        <w:t>北京市</w:t>
      </w:r>
      <w:r>
        <w:rPr>
          <w:rFonts w:ascii="仿宋" w:hAnsi="仿宋" w:cs="Arial"/>
          <w:color w:val="222222"/>
          <w:kern w:val="0"/>
          <w:szCs w:val="24"/>
          <w:shd w:val="clear" w:color="auto" w:fill="FFFFFF"/>
          <w:lang w:bidi="ar"/>
        </w:rPr>
        <w:t>丰台加快重点功能区建设</w:t>
      </w:r>
      <w:r>
        <w:rPr>
          <w:rFonts w:hint="eastAsia" w:ascii="仿宋" w:hAnsi="仿宋" w:cs="Arial"/>
          <w:color w:val="222222"/>
          <w:kern w:val="0"/>
          <w:szCs w:val="24"/>
          <w:shd w:val="clear" w:color="auto" w:fill="FFFFFF"/>
          <w:lang w:bidi="ar"/>
        </w:rPr>
        <w:t>，</w:t>
      </w:r>
      <w:r>
        <w:rPr>
          <w:rFonts w:ascii="仿宋" w:hAnsi="仿宋" w:cs="Arial"/>
          <w:color w:val="222222"/>
          <w:kern w:val="0"/>
          <w:szCs w:val="24"/>
          <w:shd w:val="clear" w:color="auto" w:fill="FFFFFF"/>
          <w:lang w:bidi="ar"/>
        </w:rPr>
        <w:t>促进产城融合</w:t>
      </w:r>
      <w:bookmarkEnd w:id="21"/>
    </w:p>
    <w:p w14:paraId="29FF82AA">
      <w:pPr>
        <w:pStyle w:val="48"/>
        <w:ind w:firstLine="480"/>
        <w:rPr>
          <w:rFonts w:hint="eastAsia" w:ascii="仿宋" w:hAnsi="仿宋"/>
          <w:lang w:bidi="en-US"/>
        </w:rPr>
      </w:pPr>
      <w:r>
        <w:rPr>
          <w:rFonts w:hint="eastAsia" w:ascii="仿宋" w:hAnsi="仿宋"/>
          <w:lang w:bidi="en-US"/>
        </w:rPr>
        <w:t>12月28日，</w:t>
      </w:r>
      <w:r>
        <w:rPr>
          <w:rFonts w:ascii="仿宋" w:hAnsi="仿宋"/>
          <w:lang w:bidi="en-US"/>
        </w:rPr>
        <w:t>中国共产党北京市丰台区第十三届委员会第九次全体会议召开。会议通过了《中共北京市丰台区委关于加快重点功能区建设、促进产城融合高质量发展的意见》（以下简称《意见》），丰台区将坚持以人为本，通过着力打造八大产城融合生态圈、持续营造“五大环境”，持续塑强四大功能等方式，加快重点功能区建设、促进产城融合，为首都发展打造丰台样板、注入丰台动能。《意见》指出，按照“多中心、分组团”思路，着力打造以四大重点功能区和四大功能组团为中心的八大产城融合生态圈，构筑形成“片区功能融汇、周边功能融通、全域功能融合”的空间布局。</w:t>
      </w:r>
    </w:p>
    <w:p w14:paraId="429FDC43">
      <w:pPr>
        <w:pStyle w:val="2"/>
        <w:numPr>
          <w:ilvl w:val="0"/>
          <w:numId w:val="3"/>
        </w:numPr>
        <w:rPr>
          <w:rFonts w:hint="eastAsia" w:ascii="仿宋" w:hAnsi="仿宋" w:cs="Arial"/>
          <w:color w:val="222222"/>
          <w:kern w:val="0"/>
          <w:szCs w:val="24"/>
          <w:shd w:val="clear" w:color="auto" w:fill="FFFFFF"/>
          <w:lang w:bidi="ar"/>
        </w:rPr>
      </w:pPr>
      <w:bookmarkStart w:id="22" w:name="_Toc187665050"/>
      <w:r>
        <w:rPr>
          <w:rFonts w:ascii="仿宋" w:hAnsi="仿宋" w:cs="Arial"/>
          <w:color w:val="222222"/>
          <w:kern w:val="0"/>
          <w:szCs w:val="24"/>
          <w:shd w:val="clear" w:color="auto" w:fill="FFFFFF"/>
          <w:lang w:bidi="ar"/>
        </w:rPr>
        <w:t>城轨交通运营线路总长度超1.2万公里，全年客运总量超320亿人次</w:t>
      </w:r>
      <w:bookmarkEnd w:id="22"/>
    </w:p>
    <w:p w14:paraId="5300D14D">
      <w:pPr>
        <w:pStyle w:val="48"/>
        <w:ind w:firstLine="480"/>
        <w:rPr>
          <w:rFonts w:hint="eastAsia" w:ascii="仿宋" w:hAnsi="仿宋"/>
          <w:lang w:bidi="en-US"/>
        </w:rPr>
      </w:pPr>
      <w:r>
        <w:rPr>
          <w:rFonts w:ascii="仿宋" w:hAnsi="仿宋"/>
          <w:lang w:bidi="en-US"/>
        </w:rPr>
        <w:t>截至2024年12月31日，中国内地累计有58个城市投运城轨交通线路362条，运营线路总长度12168.77公里。其中，23个城市开通全自动运行线路54条，线路总里程1486.01公里。2024年当年新增城轨交通运营线路953.04公里，预计2025年还将有近1000公里新线路投入运营，“十四五”末城轨交通运营线路总长度达1.32万公里。根据2024年前三季度城轨交通客运完成情况和交通运输部发布的城轨交通月度客运量初步推算，2024年中国内地城轨交通全制式系统完成客运总量将再创历史新高，预计全年完成客运总量超过320亿人次。</w:t>
      </w:r>
    </w:p>
    <w:p w14:paraId="2ADB932B">
      <w:pPr>
        <w:pStyle w:val="48"/>
        <w:ind w:firstLine="480"/>
        <w:rPr>
          <w:rFonts w:hint="eastAsia" w:ascii="仿宋" w:hAnsi="仿宋" w:cs="Arial"/>
          <w:color w:val="222222"/>
          <w:shd w:val="clear" w:color="auto" w:fill="FFFFFF"/>
          <w:lang w:bidi="ar"/>
        </w:rPr>
      </w:pPr>
    </w:p>
    <w:p w14:paraId="544A94AD">
      <w:pPr>
        <w:pStyle w:val="48"/>
        <w:ind w:firstLine="0" w:firstLineChars="0"/>
        <w:rPr>
          <w:rFonts w:hint="eastAsia" w:ascii="仿宋" w:hAnsi="仿宋"/>
          <w:b/>
          <w:bCs/>
          <w:shd w:val="clear" w:color="auto" w:fill="FFFFFF"/>
          <w:lang w:bidi="ar"/>
        </w:rPr>
      </w:pPr>
    </w:p>
    <w:p w14:paraId="40939089">
      <w:pPr>
        <w:pStyle w:val="2"/>
        <w:keepLines/>
        <w:widowControl w:val="0"/>
        <w:spacing w:before="163" w:after="163"/>
        <w:rPr>
          <w:rFonts w:hint="eastAsia" w:ascii="仿宋" w:hAnsi="仿宋" w:cs="Times New Roman"/>
          <w:color w:val="5B9BD5" w:themeColor="accent5"/>
          <w:kern w:val="44"/>
          <w:sz w:val="28"/>
          <w14:textFill>
            <w14:solidFill>
              <w14:schemeClr w14:val="accent5"/>
            </w14:solidFill>
          </w14:textFill>
        </w:rPr>
        <w:sectPr>
          <w:pgSz w:w="11906" w:h="16838"/>
          <w:pgMar w:top="1440" w:right="1800" w:bottom="1440" w:left="1800" w:header="1474" w:footer="964" w:gutter="0"/>
          <w:cols w:space="425" w:num="1"/>
          <w:docGrid w:type="lines" w:linePitch="326" w:charSpace="0"/>
        </w:sectPr>
      </w:pPr>
    </w:p>
    <w:p w14:paraId="3D153877">
      <w:pPr>
        <w:pStyle w:val="2"/>
        <w:keepLines/>
        <w:widowControl w:val="0"/>
        <w:spacing w:before="163" w:after="163"/>
        <w:jc w:val="center"/>
        <w:rPr>
          <w:rFonts w:hint="eastAsia" w:ascii="黑体" w:hAnsi="黑体" w:eastAsia="黑体" w:cs="Times New Roman"/>
          <w:color w:val="5B9BD5" w:themeColor="accent5"/>
          <w:kern w:val="44"/>
          <w:sz w:val="28"/>
          <w14:textFill>
            <w14:solidFill>
              <w14:schemeClr w14:val="accent5"/>
            </w14:solidFill>
          </w14:textFill>
        </w:rPr>
      </w:pPr>
      <w:bookmarkStart w:id="23" w:name="_Toc187665051"/>
      <w:r>
        <w:rPr>
          <w:rFonts w:hint="eastAsia" w:ascii="黑体" w:hAnsi="黑体" w:eastAsia="黑体" w:cs="Times New Roman"/>
          <w:color w:val="5B9BD5" w:themeColor="accent5"/>
          <w:kern w:val="44"/>
          <w:sz w:val="28"/>
          <w14:textFill>
            <w14:solidFill>
              <w14:schemeClr w14:val="accent5"/>
            </w14:solidFill>
          </w14:textFill>
        </w:rPr>
        <w:t>三</w:t>
      </w:r>
      <w:r>
        <w:rPr>
          <w:rFonts w:ascii="黑体" w:hAnsi="黑体" w:eastAsia="黑体" w:cs="Times New Roman"/>
          <w:color w:val="5B9BD5" w:themeColor="accent5"/>
          <w:kern w:val="44"/>
          <w:sz w:val="28"/>
          <w14:textFill>
            <w14:solidFill>
              <w14:schemeClr w14:val="accent5"/>
            </w14:solidFill>
          </w14:textFill>
        </w:rPr>
        <w:t>、企业动态</w:t>
      </w:r>
      <w:bookmarkEnd w:id="23"/>
    </w:p>
    <w:p w14:paraId="7D05C326">
      <w:pPr>
        <w:pStyle w:val="2"/>
        <w:numPr>
          <w:ilvl w:val="0"/>
          <w:numId w:val="4"/>
        </w:numPr>
        <w:ind w:left="442" w:hanging="442"/>
        <w:rPr>
          <w:rFonts w:hint="eastAsia" w:ascii="仿宋" w:hAnsi="仿宋"/>
          <w:shd w:val="clear" w:color="auto" w:fill="FFFFFF"/>
          <w:lang w:bidi="ar"/>
        </w:rPr>
      </w:pPr>
      <w:bookmarkStart w:id="24" w:name="_Toc173768251"/>
      <w:bookmarkStart w:id="25" w:name="_Toc187665052"/>
      <w:bookmarkStart w:id="26" w:name="_Hlk176338499"/>
      <w:bookmarkStart w:id="27" w:name="_Hlk157771138"/>
      <w:r>
        <w:rPr>
          <w:rFonts w:hint="eastAsia" w:ascii="仿宋" w:hAnsi="仿宋"/>
          <w:shd w:val="clear" w:color="auto" w:fill="FFFFFF"/>
          <w:lang w:bidi="ar"/>
        </w:rPr>
        <w:t>12月六城TOD土地成交12幅，其中</w:t>
      </w:r>
      <w:bookmarkEnd w:id="24"/>
      <w:r>
        <w:rPr>
          <w:rFonts w:hint="eastAsia" w:ascii="仿宋" w:hAnsi="仿宋"/>
          <w:shd w:val="clear" w:color="auto" w:fill="FFFFFF"/>
          <w:lang w:bidi="ar"/>
        </w:rPr>
        <w:t>合肥轨道溢价获得城市更新TOD地块</w:t>
      </w:r>
      <w:bookmarkEnd w:id="25"/>
    </w:p>
    <w:p w14:paraId="611C87BB">
      <w:pPr>
        <w:pStyle w:val="48"/>
        <w:ind w:firstLine="480"/>
        <w:rPr>
          <w:rFonts w:hint="eastAsia" w:ascii="仿宋" w:hAnsi="仿宋"/>
          <w:lang w:bidi="en-US"/>
        </w:rPr>
      </w:pPr>
      <w:r>
        <w:rPr>
          <w:rFonts w:hint="eastAsia" w:ascii="仿宋" w:hAnsi="仿宋"/>
          <w:lang w:bidi="en-US"/>
        </w:rPr>
        <w:t>12月份TOD土地市场十分活跃，据不完全统计，广州、合肥、郑州、嘉兴、南昌和徐州六个城市共成交12幅TOD地块，总用地面积达62万平方米，总建筑面积为95万平方米，成交总价达到115亿元。从拿地主体来看，合肥轨道竞得5幅地块，其中2幅溢价率超20%，显示出其对优质TOD地块的积极争取态势。广州地铁、郑州轨道分别竞得2幅地块，南昌轨道竞得1幅地块，海盐县铁路与轨道交通投资有限公司和徐州市隆兴建设发展有限公司也分别收获1幅地块。亮点地块信息如下：</w:t>
      </w:r>
    </w:p>
    <w:p w14:paraId="5A1FAB1B">
      <w:pPr>
        <w:pStyle w:val="48"/>
        <w:ind w:firstLine="480"/>
        <w:rPr>
          <w:rFonts w:hint="eastAsia" w:ascii="仿宋" w:hAnsi="仿宋"/>
          <w:lang w:bidi="en-US"/>
        </w:rPr>
      </w:pPr>
      <w:r>
        <w:rPr>
          <w:rFonts w:hint="eastAsia" w:ascii="仿宋" w:hAnsi="仿宋"/>
          <w:lang w:bidi="en-US"/>
        </w:rPr>
        <w:t>12月19日，</w:t>
      </w:r>
      <w:r>
        <w:rPr>
          <w:rFonts w:ascii="仿宋" w:hAnsi="仿宋"/>
          <w:lang w:bidi="en-US"/>
        </w:rPr>
        <w:t>合肥轨道以70.4亿元竞得4宗</w:t>
      </w:r>
      <w:r>
        <w:rPr>
          <w:rFonts w:hint="eastAsia" w:ascii="仿宋" w:hAnsi="仿宋"/>
          <w:lang w:bidi="en-US"/>
        </w:rPr>
        <w:t>地块</w:t>
      </w:r>
      <w:r>
        <w:rPr>
          <w:rFonts w:ascii="仿宋" w:hAnsi="仿宋"/>
          <w:lang w:bidi="en-US"/>
        </w:rPr>
        <w:t>，</w:t>
      </w:r>
      <w:bookmarkStart w:id="28" w:name="OLE_LINK2"/>
      <w:r>
        <w:rPr>
          <w:rFonts w:hint="eastAsia" w:ascii="仿宋" w:hAnsi="仿宋"/>
          <w:lang w:bidi="en-US"/>
        </w:rPr>
        <w:t>包括</w:t>
      </w:r>
      <w:r>
        <w:rPr>
          <w:rFonts w:ascii="仿宋" w:hAnsi="仿宋"/>
          <w:lang w:bidi="en-US"/>
        </w:rPr>
        <w:t>蜀山区</w:t>
      </w:r>
      <w:bookmarkEnd w:id="28"/>
      <w:r>
        <w:rPr>
          <w:rFonts w:ascii="仿宋" w:hAnsi="仿宋"/>
          <w:lang w:bidi="en-US"/>
        </w:rPr>
        <w:t>SS202408号、蜀山区SS202409号、蜀山SS202410号以及包河区BH202438号地块。</w:t>
      </w:r>
      <w:r>
        <w:rPr>
          <w:rFonts w:hint="eastAsia" w:ascii="仿宋" w:hAnsi="仿宋"/>
          <w:lang w:bidi="en-US"/>
        </w:rPr>
        <w:t>蜀山区三幅地块紧邻地铁4号线天鹅湖东站，其前身为2013年原中盐红四方老厂房所在地，在</w:t>
      </w:r>
      <w:r>
        <w:rPr>
          <w:rFonts w:ascii="仿宋" w:hAnsi="仿宋"/>
          <w:lang w:bidi="en-US"/>
        </w:rPr>
        <w:t>老厂房拆迁后进行</w:t>
      </w:r>
      <w:r>
        <w:rPr>
          <w:rFonts w:hint="eastAsia" w:ascii="仿宋" w:hAnsi="仿宋"/>
          <w:lang w:bidi="en-US"/>
        </w:rPr>
        <w:t>了</w:t>
      </w:r>
      <w:r>
        <w:rPr>
          <w:rFonts w:ascii="仿宋" w:hAnsi="仿宋"/>
          <w:lang w:bidi="en-US"/>
        </w:rPr>
        <w:t>土壤修复</w:t>
      </w:r>
      <w:r>
        <w:rPr>
          <w:rFonts w:hint="eastAsia" w:ascii="仿宋" w:hAnsi="仿宋"/>
          <w:lang w:bidi="en-US"/>
        </w:rPr>
        <w:t>，无疑是市中心极为优质的城市更新地块，这也吸引了7家企业参与激烈竞拍。其中</w:t>
      </w:r>
      <w:r>
        <w:rPr>
          <w:rFonts w:ascii="仿宋" w:hAnsi="仿宋"/>
          <w:lang w:bidi="en-US"/>
        </w:rPr>
        <w:t>蜀山区SS202408号住宅地块，位于政务区规划仙龙湖路以北、规划荷叶地路以西，占地130余亩，容积率1.8，成交楼面价27916.7元/㎡，成交单价3350万/亩，溢价达40.76%</w:t>
      </w:r>
      <w:r>
        <w:rPr>
          <w:rFonts w:hint="eastAsia" w:ascii="仿宋" w:hAnsi="仿宋"/>
          <w:lang w:bidi="en-US"/>
        </w:rPr>
        <w:t>，</w:t>
      </w:r>
      <w:r>
        <w:rPr>
          <w:rFonts w:ascii="仿宋" w:hAnsi="仿宋"/>
          <w:lang w:bidi="en-US"/>
        </w:rPr>
        <w:t>该宗地块成功刷新合肥楼面价和土地单价纪录。蜀山区SS202409号住宅地块，位于祁门路以南、规划荷叶地路以东，占地51.92亩，容积率1.8，成交总价158374.3万元，成交楼面价25416.67元/㎡，成交单价3050万元/亩，溢价28.15%。</w:t>
      </w:r>
      <w:r>
        <w:rPr>
          <w:rFonts w:hint="eastAsia" w:ascii="仿宋" w:hAnsi="仿宋"/>
          <w:lang w:bidi="en-US"/>
        </w:rPr>
        <w:t>预计合肥将以这些地块为基础，实施“以河兴城”连体式开发，打造TOD标杆项目。</w:t>
      </w:r>
    </w:p>
    <w:p w14:paraId="1FBADCF6">
      <w:pPr>
        <w:pStyle w:val="48"/>
        <w:ind w:firstLine="480"/>
        <w:rPr>
          <w:rFonts w:hint="eastAsia" w:ascii="仿宋" w:hAnsi="仿宋"/>
          <w:lang w:bidi="en-US"/>
        </w:rPr>
      </w:pPr>
      <w:r>
        <w:rPr>
          <w:rFonts w:ascii="仿宋" w:hAnsi="仿宋"/>
          <w:lang w:bidi="en-US"/>
        </w:rPr>
        <w:t>12月10日，广州地铁集团以18.6亿元底价竞得黄埔区双岗停车场（一期）地块。该地块土地用途为其他交通设施用地兼容二类居住用地（S9/R2），宗地面积50415平方米，容积率≤2.17，总建面109486平方米，成交楼面地价约17000元/平方米（未扣除配建）。</w:t>
      </w:r>
      <w:r>
        <w:rPr>
          <w:rFonts w:hint="eastAsia" w:ascii="仿宋" w:hAnsi="仿宋"/>
          <w:lang w:bidi="en-US"/>
        </w:rPr>
        <w:t>地块位于地铁5号线双沙地铁站旁，交通便利，无需换乘即可直达珠江新城、金融城。</w:t>
      </w:r>
      <w:r>
        <w:rPr>
          <w:rFonts w:ascii="仿宋" w:hAnsi="仿宋"/>
          <w:lang w:bidi="en-US"/>
        </w:rPr>
        <w:t>黄埔区双岗TOD一期项目将打造成老黄埔板块罕有的“地铁归家+低密+山居”TOD大城。</w:t>
      </w:r>
      <w:r>
        <w:rPr>
          <w:rFonts w:hint="eastAsia" w:ascii="仿宋" w:hAnsi="仿宋"/>
          <w:lang w:bidi="en-US"/>
        </w:rPr>
        <w:t>值得一提的是，</w:t>
      </w:r>
      <w:r>
        <w:rPr>
          <w:rFonts w:ascii="仿宋" w:hAnsi="仿宋"/>
          <w:lang w:bidi="en-US"/>
        </w:rPr>
        <w:t>地块容积率为2.17，相较于老黄埔众多旧改项目5-6的高容积率，低密特点使其</w:t>
      </w:r>
      <w:r>
        <w:rPr>
          <w:rFonts w:hint="eastAsia" w:ascii="仿宋" w:hAnsi="仿宋"/>
          <w:lang w:bidi="en-US"/>
        </w:rPr>
        <w:t>在居住舒适度上</w:t>
      </w:r>
      <w:r>
        <w:rPr>
          <w:rFonts w:ascii="仿宋" w:hAnsi="仿宋"/>
          <w:lang w:bidi="en-US"/>
        </w:rPr>
        <w:t>具有</w:t>
      </w:r>
      <w:r>
        <w:rPr>
          <w:rFonts w:hint="eastAsia" w:ascii="仿宋" w:hAnsi="仿宋"/>
          <w:lang w:bidi="en-US"/>
        </w:rPr>
        <w:t>更大的</w:t>
      </w:r>
      <w:r>
        <w:rPr>
          <w:rFonts w:ascii="仿宋" w:hAnsi="仿宋"/>
          <w:lang w:bidi="en-US"/>
        </w:rPr>
        <w:t>发挥空间</w:t>
      </w:r>
      <w:r>
        <w:rPr>
          <w:rFonts w:hint="eastAsia" w:ascii="仿宋" w:hAnsi="仿宋"/>
          <w:lang w:bidi="en-US"/>
        </w:rPr>
        <w:t>，能够为居民提供更优质的居住环境</w:t>
      </w:r>
      <w:r>
        <w:rPr>
          <w:rFonts w:ascii="仿宋" w:hAnsi="仿宋"/>
          <w:lang w:bidi="en-US"/>
        </w:rPr>
        <w:t>。</w:t>
      </w:r>
    </w:p>
    <w:p w14:paraId="4ADAC144">
      <w:pPr>
        <w:pStyle w:val="48"/>
        <w:ind w:firstLine="480"/>
        <w:rPr>
          <w:rFonts w:hint="eastAsia" w:ascii="仿宋" w:hAnsi="仿宋"/>
          <w:lang w:bidi="en-US"/>
        </w:rPr>
      </w:pPr>
      <w:r>
        <w:rPr>
          <w:rFonts w:ascii="仿宋" w:hAnsi="仿宋"/>
          <w:lang w:bidi="en-US"/>
        </w:rPr>
        <w:t>12月13日，广州地铁集团</w:t>
      </w:r>
      <w:r>
        <w:rPr>
          <w:rFonts w:hint="eastAsia" w:ascii="仿宋" w:hAnsi="仿宋"/>
          <w:lang w:bidi="en-US"/>
        </w:rPr>
        <w:t>再次发力，</w:t>
      </w:r>
      <w:r>
        <w:rPr>
          <w:rFonts w:ascii="仿宋" w:hAnsi="仿宋"/>
          <w:lang w:bidi="en-US"/>
        </w:rPr>
        <w:t>以11.8亿元底价竞得番禺区亚运大道BD0210116地块。该地块规划为道路与交通设施用地兼容二类居住用地、中小学用地、商业用地</w:t>
      </w:r>
      <w:r>
        <w:rPr>
          <w:rFonts w:hint="eastAsia" w:ascii="仿宋" w:hAnsi="仿宋"/>
          <w:lang w:bidi="en-US"/>
        </w:rPr>
        <w:t>，</w:t>
      </w:r>
      <w:r>
        <w:rPr>
          <w:rFonts w:ascii="仿宋" w:hAnsi="仿宋"/>
          <w:lang w:bidi="en-US"/>
        </w:rPr>
        <w:t>宗地面积为99936.54平方米，计算容积率建筑面积118396平方米。广州地铁广州新城TOD一期项目总规划约68万㎡，其中一期约12万㎡，是番禺广场板块生活圈罕有的大城配套齐全的新项目，将打造成配套齐全的宜居TOD大盘。项目位于3号线停车场上盖，约500米就是地铁站，2站可到达5地铁交汇的番禺广场。</w:t>
      </w:r>
    </w:p>
    <w:p w14:paraId="2FE6F8FA">
      <w:pPr>
        <w:ind w:firstLine="482"/>
        <w:jc w:val="center"/>
        <w:rPr>
          <w:rFonts w:hint="eastAsia" w:ascii="仿宋" w:hAnsi="仿宋"/>
          <w:b/>
          <w:bCs/>
        </w:rPr>
      </w:pPr>
      <w:r>
        <w:rPr>
          <w:rFonts w:hint="eastAsia" w:ascii="仿宋" w:hAnsi="仿宋"/>
          <w:b/>
          <w:bCs/>
        </w:rPr>
        <w:t>表：2</w:t>
      </w:r>
      <w:r>
        <w:rPr>
          <w:rFonts w:ascii="仿宋" w:hAnsi="仿宋"/>
          <w:b/>
          <w:bCs/>
        </w:rPr>
        <w:t>024</w:t>
      </w:r>
      <w:r>
        <w:rPr>
          <w:rFonts w:hint="eastAsia" w:ascii="仿宋" w:hAnsi="仿宋"/>
          <w:b/>
          <w:bCs/>
        </w:rPr>
        <w:t>年12月份典型城市T</w:t>
      </w:r>
      <w:r>
        <w:rPr>
          <w:rFonts w:ascii="仿宋" w:hAnsi="仿宋"/>
          <w:b/>
          <w:bCs/>
        </w:rPr>
        <w:t>OD</w:t>
      </w:r>
      <w:r>
        <w:rPr>
          <w:rFonts w:hint="eastAsia" w:ascii="仿宋" w:hAnsi="仿宋"/>
          <w:b/>
          <w:bCs/>
        </w:rPr>
        <w:t>地块成交信息</w:t>
      </w:r>
    </w:p>
    <w:p w14:paraId="4AEA4A77">
      <w:pPr>
        <w:ind w:firstLine="440"/>
        <w:jc w:val="right"/>
        <w:rPr>
          <w:rFonts w:hint="eastAsia" w:ascii="仿宋" w:hAnsi="仿宋" w:cs="宋体"/>
          <w:kern w:val="0"/>
          <w:sz w:val="21"/>
          <w:szCs w:val="21"/>
        </w:rPr>
      </w:pPr>
      <w:r>
        <w:rPr>
          <w:rFonts w:hint="eastAsia" w:ascii="仿宋" w:hAnsi="仿宋"/>
          <w:sz w:val="22"/>
          <w:szCs w:val="21"/>
        </w:rPr>
        <w:t>单位：</w:t>
      </w:r>
      <w:r>
        <w:rPr>
          <w:rFonts w:hint="eastAsia" w:ascii="仿宋" w:hAnsi="仿宋" w:cs="宋体"/>
          <w:kern w:val="0"/>
          <w:sz w:val="21"/>
          <w:szCs w:val="21"/>
        </w:rPr>
        <w:t>㎡、万元</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623"/>
        <w:gridCol w:w="1785"/>
        <w:gridCol w:w="782"/>
        <w:gridCol w:w="928"/>
        <w:gridCol w:w="1132"/>
        <w:gridCol w:w="1642"/>
        <w:gridCol w:w="788"/>
      </w:tblGrid>
      <w:tr w14:paraId="1B590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16" w:type="dxa"/>
            <w:shd w:val="clear" w:color="auto" w:fill="auto"/>
            <w:noWrap/>
            <w:vAlign w:val="center"/>
          </w:tcPr>
          <w:p w14:paraId="067C5B12">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序号</w:t>
            </w:r>
          </w:p>
        </w:tc>
        <w:tc>
          <w:tcPr>
            <w:tcW w:w="623" w:type="dxa"/>
            <w:shd w:val="clear" w:color="auto" w:fill="auto"/>
            <w:noWrap/>
            <w:vAlign w:val="center"/>
          </w:tcPr>
          <w:p w14:paraId="6BBE6AF9">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城市</w:t>
            </w:r>
          </w:p>
        </w:tc>
        <w:tc>
          <w:tcPr>
            <w:tcW w:w="1785" w:type="dxa"/>
            <w:shd w:val="clear" w:color="auto" w:fill="auto"/>
            <w:noWrap/>
            <w:vAlign w:val="center"/>
          </w:tcPr>
          <w:p w14:paraId="031ABD75">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土地名称</w:t>
            </w:r>
          </w:p>
        </w:tc>
        <w:tc>
          <w:tcPr>
            <w:tcW w:w="782" w:type="dxa"/>
            <w:shd w:val="clear" w:color="auto" w:fill="auto"/>
            <w:noWrap/>
            <w:vAlign w:val="center"/>
          </w:tcPr>
          <w:p w14:paraId="33E2F3AB">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土地属性</w:t>
            </w:r>
          </w:p>
        </w:tc>
        <w:tc>
          <w:tcPr>
            <w:tcW w:w="928" w:type="dxa"/>
            <w:shd w:val="clear" w:color="auto" w:fill="auto"/>
            <w:noWrap/>
            <w:vAlign w:val="center"/>
          </w:tcPr>
          <w:p w14:paraId="4235CE85">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sz w:val="21"/>
                <w:szCs w:val="21"/>
              </w:rPr>
              <w:t>总建筑面积</w:t>
            </w:r>
          </w:p>
        </w:tc>
        <w:tc>
          <w:tcPr>
            <w:tcW w:w="1132" w:type="dxa"/>
            <w:shd w:val="clear" w:color="auto" w:fill="auto"/>
            <w:noWrap/>
            <w:vAlign w:val="center"/>
          </w:tcPr>
          <w:p w14:paraId="2540AC8B">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sz w:val="21"/>
                <w:szCs w:val="21"/>
              </w:rPr>
              <w:t>成交总价</w:t>
            </w:r>
          </w:p>
        </w:tc>
        <w:tc>
          <w:tcPr>
            <w:tcW w:w="1642" w:type="dxa"/>
            <w:shd w:val="clear" w:color="auto" w:fill="auto"/>
            <w:noWrap/>
            <w:vAlign w:val="center"/>
          </w:tcPr>
          <w:p w14:paraId="46FBAD4A">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竞得企业</w:t>
            </w:r>
          </w:p>
        </w:tc>
        <w:tc>
          <w:tcPr>
            <w:tcW w:w="788" w:type="dxa"/>
            <w:shd w:val="clear" w:color="auto" w:fill="auto"/>
            <w:noWrap/>
            <w:vAlign w:val="center"/>
          </w:tcPr>
          <w:p w14:paraId="4033B950">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成交日期</w:t>
            </w:r>
          </w:p>
        </w:tc>
      </w:tr>
      <w:tr w14:paraId="7F1A2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16" w:type="dxa"/>
            <w:shd w:val="clear" w:color="auto" w:fill="auto"/>
            <w:noWrap/>
            <w:vAlign w:val="center"/>
          </w:tcPr>
          <w:p w14:paraId="777412BE">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1</w:t>
            </w:r>
          </w:p>
        </w:tc>
        <w:tc>
          <w:tcPr>
            <w:tcW w:w="623" w:type="dxa"/>
            <w:shd w:val="clear" w:color="auto" w:fill="auto"/>
            <w:noWrap/>
            <w:vAlign w:val="center"/>
          </w:tcPr>
          <w:p w14:paraId="3AFFFB6F">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合肥</w:t>
            </w:r>
          </w:p>
        </w:tc>
        <w:tc>
          <w:tcPr>
            <w:tcW w:w="1785" w:type="dxa"/>
            <w:shd w:val="clear" w:color="auto" w:fill="auto"/>
            <w:noWrap/>
            <w:vAlign w:val="center"/>
          </w:tcPr>
          <w:p w14:paraId="095DA745">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瑶海区胜利路以东、站前路以南瑶海区</w:t>
            </w:r>
            <w:r>
              <w:rPr>
                <w:rFonts w:ascii="仿宋" w:hAnsi="仿宋" w:cs="Arial"/>
                <w:kern w:val="0"/>
                <w:sz w:val="21"/>
                <w:szCs w:val="21"/>
              </w:rPr>
              <w:t>YH202411</w:t>
            </w:r>
            <w:r>
              <w:rPr>
                <w:rFonts w:hint="eastAsia" w:ascii="仿宋" w:hAnsi="仿宋" w:cs="宋体"/>
                <w:kern w:val="0"/>
                <w:sz w:val="21"/>
                <w:szCs w:val="21"/>
              </w:rPr>
              <w:t>号</w:t>
            </w:r>
          </w:p>
        </w:tc>
        <w:tc>
          <w:tcPr>
            <w:tcW w:w="782" w:type="dxa"/>
            <w:shd w:val="clear" w:color="auto" w:fill="auto"/>
            <w:noWrap/>
            <w:vAlign w:val="center"/>
          </w:tcPr>
          <w:p w14:paraId="68E6C2A7">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商办</w:t>
            </w:r>
          </w:p>
        </w:tc>
        <w:tc>
          <w:tcPr>
            <w:tcW w:w="928" w:type="dxa"/>
            <w:shd w:val="clear" w:color="auto" w:fill="auto"/>
            <w:noWrap/>
            <w:vAlign w:val="center"/>
          </w:tcPr>
          <w:p w14:paraId="12D818E1">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45,514</w:t>
            </w:r>
          </w:p>
        </w:tc>
        <w:tc>
          <w:tcPr>
            <w:tcW w:w="1132" w:type="dxa"/>
            <w:shd w:val="clear" w:color="auto" w:fill="auto"/>
            <w:noWrap/>
            <w:vAlign w:val="center"/>
          </w:tcPr>
          <w:p w14:paraId="073F32CE">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8,693</w:t>
            </w:r>
          </w:p>
        </w:tc>
        <w:tc>
          <w:tcPr>
            <w:tcW w:w="1642" w:type="dxa"/>
            <w:shd w:val="clear" w:color="auto" w:fill="auto"/>
            <w:noWrap/>
            <w:vAlign w:val="center"/>
          </w:tcPr>
          <w:p w14:paraId="15A5D751">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合肥轨道交通集团有限公司</w:t>
            </w:r>
          </w:p>
        </w:tc>
        <w:tc>
          <w:tcPr>
            <w:tcW w:w="788" w:type="dxa"/>
            <w:shd w:val="clear" w:color="auto" w:fill="auto"/>
            <w:noWrap/>
            <w:vAlign w:val="center"/>
          </w:tcPr>
          <w:p w14:paraId="16420DDA">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12-05</w:t>
            </w:r>
          </w:p>
        </w:tc>
      </w:tr>
      <w:tr w14:paraId="10B7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16" w:type="dxa"/>
            <w:shd w:val="clear" w:color="auto" w:fill="auto"/>
            <w:noWrap/>
            <w:vAlign w:val="center"/>
          </w:tcPr>
          <w:p w14:paraId="2A244F77">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2</w:t>
            </w:r>
          </w:p>
        </w:tc>
        <w:tc>
          <w:tcPr>
            <w:tcW w:w="623" w:type="dxa"/>
            <w:shd w:val="clear" w:color="auto" w:fill="auto"/>
            <w:noWrap/>
            <w:vAlign w:val="center"/>
          </w:tcPr>
          <w:p w14:paraId="4E0948E5">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郑州</w:t>
            </w:r>
          </w:p>
        </w:tc>
        <w:tc>
          <w:tcPr>
            <w:tcW w:w="1785" w:type="dxa"/>
            <w:shd w:val="clear" w:color="auto" w:fill="auto"/>
            <w:noWrap/>
            <w:vAlign w:val="center"/>
          </w:tcPr>
          <w:p w14:paraId="553E49AA">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优胜南路南、南阳路东郑政出〔</w:t>
            </w:r>
            <w:r>
              <w:rPr>
                <w:rFonts w:ascii="仿宋" w:hAnsi="仿宋" w:cs="Arial"/>
                <w:kern w:val="0"/>
                <w:sz w:val="21"/>
                <w:szCs w:val="21"/>
              </w:rPr>
              <w:t>2024</w:t>
            </w:r>
            <w:r>
              <w:rPr>
                <w:rFonts w:hint="eastAsia" w:ascii="仿宋" w:hAnsi="仿宋" w:cs="宋体"/>
                <w:kern w:val="0"/>
                <w:sz w:val="21"/>
                <w:szCs w:val="21"/>
              </w:rPr>
              <w:t>〕</w:t>
            </w:r>
            <w:r>
              <w:rPr>
                <w:rFonts w:ascii="仿宋" w:hAnsi="仿宋" w:cs="Arial"/>
                <w:kern w:val="0"/>
                <w:sz w:val="21"/>
                <w:szCs w:val="21"/>
              </w:rPr>
              <w:t>25</w:t>
            </w:r>
            <w:r>
              <w:rPr>
                <w:rFonts w:hint="eastAsia" w:ascii="仿宋" w:hAnsi="仿宋" w:cs="宋体"/>
                <w:kern w:val="0"/>
                <w:sz w:val="21"/>
                <w:szCs w:val="21"/>
              </w:rPr>
              <w:t>号（网）</w:t>
            </w:r>
          </w:p>
        </w:tc>
        <w:tc>
          <w:tcPr>
            <w:tcW w:w="782" w:type="dxa"/>
            <w:shd w:val="clear" w:color="auto" w:fill="auto"/>
            <w:noWrap/>
            <w:vAlign w:val="center"/>
          </w:tcPr>
          <w:p w14:paraId="519CDBBE">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纯住宅</w:t>
            </w:r>
          </w:p>
        </w:tc>
        <w:tc>
          <w:tcPr>
            <w:tcW w:w="928" w:type="dxa"/>
            <w:shd w:val="clear" w:color="auto" w:fill="auto"/>
            <w:noWrap/>
            <w:vAlign w:val="center"/>
          </w:tcPr>
          <w:p w14:paraId="6497F169">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54,398</w:t>
            </w:r>
          </w:p>
        </w:tc>
        <w:tc>
          <w:tcPr>
            <w:tcW w:w="1132" w:type="dxa"/>
            <w:shd w:val="clear" w:color="auto" w:fill="auto"/>
            <w:noWrap/>
            <w:vAlign w:val="center"/>
          </w:tcPr>
          <w:p w14:paraId="3415271B">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36,994</w:t>
            </w:r>
          </w:p>
        </w:tc>
        <w:tc>
          <w:tcPr>
            <w:tcW w:w="1642" w:type="dxa"/>
            <w:shd w:val="clear" w:color="auto" w:fill="auto"/>
            <w:noWrap/>
            <w:vAlign w:val="center"/>
          </w:tcPr>
          <w:p w14:paraId="0C65D0B9">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郑州轨道石桥房地产开发有限公司</w:t>
            </w:r>
          </w:p>
        </w:tc>
        <w:tc>
          <w:tcPr>
            <w:tcW w:w="788" w:type="dxa"/>
            <w:shd w:val="clear" w:color="auto" w:fill="auto"/>
            <w:noWrap/>
            <w:vAlign w:val="center"/>
          </w:tcPr>
          <w:p w14:paraId="390505AD">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12-06</w:t>
            </w:r>
          </w:p>
        </w:tc>
      </w:tr>
      <w:tr w14:paraId="1B7D9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16" w:type="dxa"/>
            <w:shd w:val="clear" w:color="auto" w:fill="auto"/>
            <w:noWrap/>
            <w:vAlign w:val="center"/>
          </w:tcPr>
          <w:p w14:paraId="6BDEC827">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3</w:t>
            </w:r>
          </w:p>
        </w:tc>
        <w:tc>
          <w:tcPr>
            <w:tcW w:w="623" w:type="dxa"/>
            <w:shd w:val="clear" w:color="auto" w:fill="auto"/>
            <w:noWrap/>
            <w:vAlign w:val="center"/>
          </w:tcPr>
          <w:p w14:paraId="5CB17B59">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嘉兴</w:t>
            </w:r>
          </w:p>
        </w:tc>
        <w:tc>
          <w:tcPr>
            <w:tcW w:w="1785" w:type="dxa"/>
            <w:shd w:val="clear" w:color="auto" w:fill="auto"/>
            <w:noWrap/>
            <w:vAlign w:val="center"/>
          </w:tcPr>
          <w:p w14:paraId="1FD5F6DA">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海盐县</w:t>
            </w:r>
            <w:r>
              <w:rPr>
                <w:rFonts w:ascii="仿宋" w:hAnsi="仿宋" w:cs="Arial"/>
                <w:kern w:val="0"/>
                <w:sz w:val="21"/>
                <w:szCs w:val="21"/>
              </w:rPr>
              <w:t>24-074</w:t>
            </w:r>
            <w:r>
              <w:rPr>
                <w:rFonts w:hint="eastAsia" w:ascii="仿宋" w:hAnsi="仿宋" w:cs="宋体"/>
                <w:kern w:val="0"/>
                <w:sz w:val="21"/>
                <w:szCs w:val="21"/>
              </w:rPr>
              <w:t>号地块武原街道站前广场地块</w:t>
            </w:r>
          </w:p>
        </w:tc>
        <w:tc>
          <w:tcPr>
            <w:tcW w:w="782" w:type="dxa"/>
            <w:shd w:val="clear" w:color="auto" w:fill="auto"/>
            <w:noWrap/>
            <w:vAlign w:val="center"/>
          </w:tcPr>
          <w:p w14:paraId="6E6BC3C9">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商办</w:t>
            </w:r>
          </w:p>
        </w:tc>
        <w:tc>
          <w:tcPr>
            <w:tcW w:w="928" w:type="dxa"/>
            <w:shd w:val="clear" w:color="auto" w:fill="auto"/>
            <w:noWrap/>
            <w:vAlign w:val="center"/>
          </w:tcPr>
          <w:p w14:paraId="1F2BF79C">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4,673</w:t>
            </w:r>
          </w:p>
        </w:tc>
        <w:tc>
          <w:tcPr>
            <w:tcW w:w="1132" w:type="dxa"/>
            <w:shd w:val="clear" w:color="auto" w:fill="auto"/>
            <w:noWrap/>
            <w:vAlign w:val="center"/>
          </w:tcPr>
          <w:p w14:paraId="74C6EE17">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6,308</w:t>
            </w:r>
          </w:p>
        </w:tc>
        <w:tc>
          <w:tcPr>
            <w:tcW w:w="1642" w:type="dxa"/>
            <w:shd w:val="clear" w:color="auto" w:fill="auto"/>
            <w:noWrap/>
            <w:vAlign w:val="center"/>
          </w:tcPr>
          <w:p w14:paraId="7FCF14A0">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海盐县铁路与轨道交通投资有限公司</w:t>
            </w:r>
          </w:p>
        </w:tc>
        <w:tc>
          <w:tcPr>
            <w:tcW w:w="788" w:type="dxa"/>
            <w:shd w:val="clear" w:color="auto" w:fill="auto"/>
            <w:noWrap/>
            <w:vAlign w:val="center"/>
          </w:tcPr>
          <w:p w14:paraId="46573AF5">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12-09</w:t>
            </w:r>
          </w:p>
        </w:tc>
      </w:tr>
      <w:tr w14:paraId="105F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16" w:type="dxa"/>
            <w:shd w:val="clear" w:color="auto" w:fill="auto"/>
            <w:noWrap/>
            <w:vAlign w:val="center"/>
          </w:tcPr>
          <w:p w14:paraId="3BA9A37D">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4</w:t>
            </w:r>
          </w:p>
        </w:tc>
        <w:tc>
          <w:tcPr>
            <w:tcW w:w="623" w:type="dxa"/>
            <w:shd w:val="clear" w:color="auto" w:fill="auto"/>
            <w:noWrap/>
            <w:vAlign w:val="center"/>
          </w:tcPr>
          <w:p w14:paraId="75F1CDE5">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广州</w:t>
            </w:r>
          </w:p>
        </w:tc>
        <w:tc>
          <w:tcPr>
            <w:tcW w:w="1785" w:type="dxa"/>
            <w:shd w:val="clear" w:color="auto" w:fill="auto"/>
            <w:noWrap/>
            <w:vAlign w:val="center"/>
          </w:tcPr>
          <w:p w14:paraId="5874C213">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黄埔区双岗停车场（一期）地块</w:t>
            </w:r>
          </w:p>
        </w:tc>
        <w:tc>
          <w:tcPr>
            <w:tcW w:w="782" w:type="dxa"/>
            <w:shd w:val="clear" w:color="auto" w:fill="auto"/>
            <w:noWrap/>
            <w:vAlign w:val="center"/>
          </w:tcPr>
          <w:p w14:paraId="124644B9">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纯住宅</w:t>
            </w:r>
          </w:p>
        </w:tc>
        <w:tc>
          <w:tcPr>
            <w:tcW w:w="928" w:type="dxa"/>
            <w:shd w:val="clear" w:color="auto" w:fill="auto"/>
            <w:noWrap/>
            <w:vAlign w:val="center"/>
          </w:tcPr>
          <w:p w14:paraId="6DBC5110">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109,436</w:t>
            </w:r>
          </w:p>
        </w:tc>
        <w:tc>
          <w:tcPr>
            <w:tcW w:w="1132" w:type="dxa"/>
            <w:shd w:val="clear" w:color="auto" w:fill="auto"/>
            <w:noWrap/>
            <w:vAlign w:val="center"/>
          </w:tcPr>
          <w:p w14:paraId="6C7ECC32">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186,042</w:t>
            </w:r>
          </w:p>
        </w:tc>
        <w:tc>
          <w:tcPr>
            <w:tcW w:w="1642" w:type="dxa"/>
            <w:shd w:val="clear" w:color="auto" w:fill="auto"/>
            <w:noWrap/>
            <w:vAlign w:val="center"/>
          </w:tcPr>
          <w:p w14:paraId="78268B09">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广州地铁集团有限公司</w:t>
            </w:r>
          </w:p>
        </w:tc>
        <w:tc>
          <w:tcPr>
            <w:tcW w:w="788" w:type="dxa"/>
            <w:shd w:val="clear" w:color="auto" w:fill="auto"/>
            <w:noWrap/>
            <w:vAlign w:val="center"/>
          </w:tcPr>
          <w:p w14:paraId="79B0D818">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12-10</w:t>
            </w:r>
          </w:p>
        </w:tc>
      </w:tr>
      <w:tr w14:paraId="29CB3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16" w:type="dxa"/>
            <w:shd w:val="clear" w:color="auto" w:fill="auto"/>
            <w:noWrap/>
            <w:vAlign w:val="center"/>
          </w:tcPr>
          <w:p w14:paraId="296C873E">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5</w:t>
            </w:r>
          </w:p>
        </w:tc>
        <w:tc>
          <w:tcPr>
            <w:tcW w:w="623" w:type="dxa"/>
            <w:shd w:val="clear" w:color="auto" w:fill="auto"/>
            <w:noWrap/>
            <w:vAlign w:val="center"/>
          </w:tcPr>
          <w:p w14:paraId="438D209A">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南昌</w:t>
            </w:r>
          </w:p>
        </w:tc>
        <w:tc>
          <w:tcPr>
            <w:tcW w:w="1785" w:type="dxa"/>
            <w:shd w:val="clear" w:color="auto" w:fill="auto"/>
            <w:noWrap/>
            <w:vAlign w:val="center"/>
          </w:tcPr>
          <w:p w14:paraId="18288DF0">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高新区紫阳大道以南、省奥体中心以东（</w:t>
            </w:r>
            <w:r>
              <w:rPr>
                <w:rFonts w:ascii="仿宋" w:hAnsi="仿宋" w:cs="Arial"/>
                <w:kern w:val="0"/>
                <w:sz w:val="21"/>
                <w:szCs w:val="21"/>
              </w:rPr>
              <w:t>YH602-A05</w:t>
            </w:r>
            <w:r>
              <w:rPr>
                <w:rFonts w:hint="eastAsia" w:ascii="仿宋" w:hAnsi="仿宋" w:cs="宋体"/>
                <w:kern w:val="0"/>
                <w:sz w:val="21"/>
                <w:szCs w:val="21"/>
              </w:rPr>
              <w:t>地块）</w:t>
            </w:r>
            <w:r>
              <w:rPr>
                <w:rFonts w:ascii="仿宋" w:hAnsi="仿宋" w:cs="Arial"/>
                <w:kern w:val="0"/>
                <w:sz w:val="21"/>
                <w:szCs w:val="21"/>
              </w:rPr>
              <w:t>DAFJ2024017</w:t>
            </w:r>
          </w:p>
        </w:tc>
        <w:tc>
          <w:tcPr>
            <w:tcW w:w="782" w:type="dxa"/>
            <w:shd w:val="clear" w:color="auto" w:fill="auto"/>
            <w:noWrap/>
            <w:vAlign w:val="center"/>
          </w:tcPr>
          <w:p w14:paraId="66D9E96E">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纯住宅</w:t>
            </w:r>
          </w:p>
        </w:tc>
        <w:tc>
          <w:tcPr>
            <w:tcW w:w="928" w:type="dxa"/>
            <w:shd w:val="clear" w:color="auto" w:fill="auto"/>
            <w:noWrap/>
            <w:vAlign w:val="center"/>
          </w:tcPr>
          <w:p w14:paraId="4D00A8EE">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33,471</w:t>
            </w:r>
          </w:p>
        </w:tc>
        <w:tc>
          <w:tcPr>
            <w:tcW w:w="1132" w:type="dxa"/>
            <w:shd w:val="clear" w:color="auto" w:fill="auto"/>
            <w:noWrap/>
            <w:vAlign w:val="center"/>
          </w:tcPr>
          <w:p w14:paraId="2D5D9D89">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12,217</w:t>
            </w:r>
          </w:p>
        </w:tc>
        <w:tc>
          <w:tcPr>
            <w:tcW w:w="1642" w:type="dxa"/>
            <w:shd w:val="clear" w:color="auto" w:fill="auto"/>
            <w:noWrap/>
            <w:vAlign w:val="center"/>
          </w:tcPr>
          <w:p w14:paraId="4692B12F">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南昌轨道交通地产开发有限公司</w:t>
            </w:r>
          </w:p>
        </w:tc>
        <w:tc>
          <w:tcPr>
            <w:tcW w:w="788" w:type="dxa"/>
            <w:shd w:val="clear" w:color="auto" w:fill="auto"/>
            <w:noWrap/>
            <w:vAlign w:val="center"/>
          </w:tcPr>
          <w:p w14:paraId="04A42FD2">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12-12</w:t>
            </w:r>
          </w:p>
        </w:tc>
      </w:tr>
      <w:tr w14:paraId="7923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16" w:type="dxa"/>
            <w:shd w:val="clear" w:color="auto" w:fill="auto"/>
            <w:noWrap/>
            <w:vAlign w:val="center"/>
          </w:tcPr>
          <w:p w14:paraId="737BEAA9">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6</w:t>
            </w:r>
          </w:p>
        </w:tc>
        <w:tc>
          <w:tcPr>
            <w:tcW w:w="623" w:type="dxa"/>
            <w:shd w:val="clear" w:color="auto" w:fill="auto"/>
            <w:noWrap/>
            <w:vAlign w:val="center"/>
          </w:tcPr>
          <w:p w14:paraId="73E63F7D">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广州</w:t>
            </w:r>
          </w:p>
        </w:tc>
        <w:tc>
          <w:tcPr>
            <w:tcW w:w="1785" w:type="dxa"/>
            <w:shd w:val="clear" w:color="auto" w:fill="auto"/>
            <w:noWrap/>
            <w:vAlign w:val="center"/>
          </w:tcPr>
          <w:p w14:paraId="631EA667">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番禺区亚运大道</w:t>
            </w:r>
            <w:r>
              <w:rPr>
                <w:rFonts w:ascii="仿宋" w:hAnsi="仿宋" w:cs="Arial"/>
                <w:kern w:val="0"/>
                <w:sz w:val="21"/>
                <w:szCs w:val="21"/>
              </w:rPr>
              <w:t>BD0210116</w:t>
            </w:r>
            <w:r>
              <w:rPr>
                <w:rFonts w:hint="eastAsia" w:ascii="仿宋" w:hAnsi="仿宋" w:cs="宋体"/>
                <w:kern w:val="0"/>
                <w:sz w:val="21"/>
                <w:szCs w:val="21"/>
              </w:rPr>
              <w:t>地块</w:t>
            </w:r>
          </w:p>
        </w:tc>
        <w:tc>
          <w:tcPr>
            <w:tcW w:w="782" w:type="dxa"/>
            <w:shd w:val="clear" w:color="auto" w:fill="auto"/>
            <w:noWrap/>
            <w:vAlign w:val="center"/>
          </w:tcPr>
          <w:p w14:paraId="29E2B155">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商住</w:t>
            </w:r>
          </w:p>
        </w:tc>
        <w:tc>
          <w:tcPr>
            <w:tcW w:w="928" w:type="dxa"/>
            <w:shd w:val="clear" w:color="auto" w:fill="auto"/>
            <w:noWrap/>
            <w:vAlign w:val="center"/>
          </w:tcPr>
          <w:p w14:paraId="0E5EFBA6">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118,396</w:t>
            </w:r>
          </w:p>
        </w:tc>
        <w:tc>
          <w:tcPr>
            <w:tcW w:w="1132" w:type="dxa"/>
            <w:shd w:val="clear" w:color="auto" w:fill="auto"/>
            <w:noWrap/>
            <w:vAlign w:val="center"/>
          </w:tcPr>
          <w:p w14:paraId="6CE8C686">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118,396</w:t>
            </w:r>
          </w:p>
        </w:tc>
        <w:tc>
          <w:tcPr>
            <w:tcW w:w="1642" w:type="dxa"/>
            <w:shd w:val="clear" w:color="auto" w:fill="auto"/>
            <w:noWrap/>
            <w:vAlign w:val="center"/>
          </w:tcPr>
          <w:p w14:paraId="755BD26F">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广州地铁集团有限公司</w:t>
            </w:r>
          </w:p>
        </w:tc>
        <w:tc>
          <w:tcPr>
            <w:tcW w:w="788" w:type="dxa"/>
            <w:shd w:val="clear" w:color="auto" w:fill="auto"/>
            <w:noWrap/>
            <w:vAlign w:val="center"/>
          </w:tcPr>
          <w:p w14:paraId="5EA4F3A5">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12-13</w:t>
            </w:r>
          </w:p>
        </w:tc>
      </w:tr>
      <w:tr w14:paraId="198A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16" w:type="dxa"/>
            <w:shd w:val="clear" w:color="auto" w:fill="auto"/>
            <w:noWrap/>
            <w:vAlign w:val="center"/>
          </w:tcPr>
          <w:p w14:paraId="6FD1F939">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7</w:t>
            </w:r>
          </w:p>
        </w:tc>
        <w:tc>
          <w:tcPr>
            <w:tcW w:w="623" w:type="dxa"/>
            <w:shd w:val="clear" w:color="auto" w:fill="auto"/>
            <w:noWrap/>
            <w:vAlign w:val="center"/>
          </w:tcPr>
          <w:p w14:paraId="6552E96E">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合肥</w:t>
            </w:r>
          </w:p>
        </w:tc>
        <w:tc>
          <w:tcPr>
            <w:tcW w:w="1785" w:type="dxa"/>
            <w:shd w:val="clear" w:color="auto" w:fill="auto"/>
            <w:noWrap/>
            <w:vAlign w:val="center"/>
          </w:tcPr>
          <w:p w14:paraId="38D20631">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包河区金寨路以东、龙图路以北</w:t>
            </w:r>
            <w:r>
              <w:rPr>
                <w:rFonts w:ascii="仿宋" w:hAnsi="仿宋" w:cs="Arial"/>
                <w:kern w:val="0"/>
                <w:sz w:val="21"/>
                <w:szCs w:val="21"/>
              </w:rPr>
              <w:t xml:space="preserve"> BH202438</w:t>
            </w:r>
          </w:p>
        </w:tc>
        <w:tc>
          <w:tcPr>
            <w:tcW w:w="782" w:type="dxa"/>
            <w:shd w:val="clear" w:color="auto" w:fill="auto"/>
            <w:noWrap/>
            <w:vAlign w:val="center"/>
          </w:tcPr>
          <w:p w14:paraId="6C44487C">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纯住宅</w:t>
            </w:r>
          </w:p>
        </w:tc>
        <w:tc>
          <w:tcPr>
            <w:tcW w:w="928" w:type="dxa"/>
            <w:shd w:val="clear" w:color="auto" w:fill="auto"/>
            <w:noWrap/>
            <w:vAlign w:val="center"/>
          </w:tcPr>
          <w:p w14:paraId="467DE880">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40,768</w:t>
            </w:r>
          </w:p>
        </w:tc>
        <w:tc>
          <w:tcPr>
            <w:tcW w:w="1132" w:type="dxa"/>
            <w:shd w:val="clear" w:color="auto" w:fill="auto"/>
            <w:noWrap/>
            <w:vAlign w:val="center"/>
          </w:tcPr>
          <w:p w14:paraId="674D4B04">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48,944</w:t>
            </w:r>
          </w:p>
        </w:tc>
        <w:tc>
          <w:tcPr>
            <w:tcW w:w="1642" w:type="dxa"/>
            <w:shd w:val="clear" w:color="auto" w:fill="auto"/>
            <w:noWrap/>
            <w:vAlign w:val="center"/>
          </w:tcPr>
          <w:p w14:paraId="143A7DF3">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合肥市轨道交通投资发展有限公司</w:t>
            </w:r>
          </w:p>
        </w:tc>
        <w:tc>
          <w:tcPr>
            <w:tcW w:w="788" w:type="dxa"/>
            <w:shd w:val="clear" w:color="auto" w:fill="auto"/>
            <w:noWrap/>
            <w:vAlign w:val="center"/>
          </w:tcPr>
          <w:p w14:paraId="22FE86E8">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12-19</w:t>
            </w:r>
          </w:p>
        </w:tc>
      </w:tr>
      <w:tr w14:paraId="5F665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16" w:type="dxa"/>
            <w:shd w:val="clear" w:color="auto" w:fill="auto"/>
            <w:noWrap/>
            <w:vAlign w:val="center"/>
          </w:tcPr>
          <w:p w14:paraId="64B4AB30">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8</w:t>
            </w:r>
          </w:p>
        </w:tc>
        <w:tc>
          <w:tcPr>
            <w:tcW w:w="623" w:type="dxa"/>
            <w:shd w:val="clear" w:color="auto" w:fill="auto"/>
            <w:noWrap/>
            <w:vAlign w:val="center"/>
          </w:tcPr>
          <w:p w14:paraId="021845C8">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合肥</w:t>
            </w:r>
          </w:p>
        </w:tc>
        <w:tc>
          <w:tcPr>
            <w:tcW w:w="1785" w:type="dxa"/>
            <w:shd w:val="clear" w:color="auto" w:fill="auto"/>
            <w:noWrap/>
            <w:vAlign w:val="center"/>
          </w:tcPr>
          <w:p w14:paraId="7839A800">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蜀山区规划仙龙湖路以北、规划荷叶地路以西</w:t>
            </w:r>
            <w:r>
              <w:rPr>
                <w:rFonts w:ascii="仿宋" w:hAnsi="仿宋" w:cs="Arial"/>
                <w:kern w:val="0"/>
                <w:sz w:val="21"/>
                <w:szCs w:val="21"/>
              </w:rPr>
              <w:t xml:space="preserve"> SS202408</w:t>
            </w:r>
          </w:p>
        </w:tc>
        <w:tc>
          <w:tcPr>
            <w:tcW w:w="782" w:type="dxa"/>
            <w:shd w:val="clear" w:color="auto" w:fill="auto"/>
            <w:noWrap/>
            <w:vAlign w:val="center"/>
          </w:tcPr>
          <w:p w14:paraId="56EEF77F">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纯住宅</w:t>
            </w:r>
          </w:p>
        </w:tc>
        <w:tc>
          <w:tcPr>
            <w:tcW w:w="928" w:type="dxa"/>
            <w:shd w:val="clear" w:color="auto" w:fill="auto"/>
            <w:noWrap/>
            <w:vAlign w:val="center"/>
          </w:tcPr>
          <w:p w14:paraId="277B7C41">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156,881</w:t>
            </w:r>
          </w:p>
        </w:tc>
        <w:tc>
          <w:tcPr>
            <w:tcW w:w="1132" w:type="dxa"/>
            <w:shd w:val="clear" w:color="auto" w:fill="auto"/>
            <w:noWrap/>
            <w:vAlign w:val="center"/>
          </w:tcPr>
          <w:p w14:paraId="475A8DB9">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437,959</w:t>
            </w:r>
          </w:p>
        </w:tc>
        <w:tc>
          <w:tcPr>
            <w:tcW w:w="1642" w:type="dxa"/>
            <w:shd w:val="clear" w:color="auto" w:fill="auto"/>
            <w:noWrap/>
            <w:vAlign w:val="center"/>
          </w:tcPr>
          <w:p w14:paraId="127392AA">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合肥市轨道交通投资发展有限公司</w:t>
            </w:r>
          </w:p>
        </w:tc>
        <w:tc>
          <w:tcPr>
            <w:tcW w:w="788" w:type="dxa"/>
            <w:shd w:val="clear" w:color="auto" w:fill="auto"/>
            <w:noWrap/>
            <w:vAlign w:val="center"/>
          </w:tcPr>
          <w:p w14:paraId="76CE3223">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12-19</w:t>
            </w:r>
          </w:p>
        </w:tc>
      </w:tr>
      <w:tr w14:paraId="3AE8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16" w:type="dxa"/>
            <w:shd w:val="clear" w:color="auto" w:fill="auto"/>
            <w:noWrap/>
            <w:vAlign w:val="center"/>
          </w:tcPr>
          <w:p w14:paraId="73951691">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9</w:t>
            </w:r>
          </w:p>
        </w:tc>
        <w:tc>
          <w:tcPr>
            <w:tcW w:w="623" w:type="dxa"/>
            <w:shd w:val="clear" w:color="auto" w:fill="auto"/>
            <w:noWrap/>
            <w:vAlign w:val="center"/>
          </w:tcPr>
          <w:p w14:paraId="398FA1BA">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合肥</w:t>
            </w:r>
          </w:p>
        </w:tc>
        <w:tc>
          <w:tcPr>
            <w:tcW w:w="1785" w:type="dxa"/>
            <w:shd w:val="clear" w:color="auto" w:fill="auto"/>
            <w:noWrap/>
            <w:vAlign w:val="center"/>
          </w:tcPr>
          <w:p w14:paraId="563C2985">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蜀山区祁门路以南、规划荷叶地路以东</w:t>
            </w:r>
            <w:r>
              <w:rPr>
                <w:rFonts w:ascii="仿宋" w:hAnsi="仿宋" w:cs="Arial"/>
                <w:kern w:val="0"/>
                <w:sz w:val="21"/>
                <w:szCs w:val="21"/>
              </w:rPr>
              <w:t xml:space="preserve"> SS202409</w:t>
            </w:r>
          </w:p>
        </w:tc>
        <w:tc>
          <w:tcPr>
            <w:tcW w:w="782" w:type="dxa"/>
            <w:shd w:val="clear" w:color="auto" w:fill="auto"/>
            <w:noWrap/>
            <w:vAlign w:val="center"/>
          </w:tcPr>
          <w:p w14:paraId="5D11C20F">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纯住宅</w:t>
            </w:r>
          </w:p>
        </w:tc>
        <w:tc>
          <w:tcPr>
            <w:tcW w:w="928" w:type="dxa"/>
            <w:shd w:val="clear" w:color="auto" w:fill="auto"/>
            <w:noWrap/>
            <w:vAlign w:val="center"/>
          </w:tcPr>
          <w:p w14:paraId="1D2170C7">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62,311</w:t>
            </w:r>
          </w:p>
        </w:tc>
        <w:tc>
          <w:tcPr>
            <w:tcW w:w="1132" w:type="dxa"/>
            <w:shd w:val="clear" w:color="auto" w:fill="auto"/>
            <w:noWrap/>
            <w:vAlign w:val="center"/>
          </w:tcPr>
          <w:p w14:paraId="26F045F4">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158,374</w:t>
            </w:r>
          </w:p>
        </w:tc>
        <w:tc>
          <w:tcPr>
            <w:tcW w:w="1642" w:type="dxa"/>
            <w:shd w:val="clear" w:color="auto" w:fill="auto"/>
            <w:noWrap/>
            <w:vAlign w:val="center"/>
          </w:tcPr>
          <w:p w14:paraId="42858DEF">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合肥市轨道交通投资发展有限公司</w:t>
            </w:r>
          </w:p>
        </w:tc>
        <w:tc>
          <w:tcPr>
            <w:tcW w:w="788" w:type="dxa"/>
            <w:shd w:val="clear" w:color="auto" w:fill="auto"/>
            <w:noWrap/>
            <w:vAlign w:val="center"/>
          </w:tcPr>
          <w:p w14:paraId="18A2DC40">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12-19</w:t>
            </w:r>
          </w:p>
        </w:tc>
      </w:tr>
      <w:tr w14:paraId="7116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16" w:type="dxa"/>
            <w:shd w:val="clear" w:color="auto" w:fill="auto"/>
            <w:noWrap/>
            <w:vAlign w:val="center"/>
          </w:tcPr>
          <w:p w14:paraId="7868DC2C">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10</w:t>
            </w:r>
          </w:p>
        </w:tc>
        <w:tc>
          <w:tcPr>
            <w:tcW w:w="623" w:type="dxa"/>
            <w:shd w:val="clear" w:color="auto" w:fill="auto"/>
            <w:noWrap/>
            <w:vAlign w:val="center"/>
          </w:tcPr>
          <w:p w14:paraId="69D379D8">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合肥</w:t>
            </w:r>
          </w:p>
        </w:tc>
        <w:tc>
          <w:tcPr>
            <w:tcW w:w="1785" w:type="dxa"/>
            <w:shd w:val="clear" w:color="auto" w:fill="auto"/>
            <w:noWrap/>
            <w:vAlign w:val="center"/>
          </w:tcPr>
          <w:p w14:paraId="70F64907">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蜀山区祁门路以南、规划荷叶地路以西</w:t>
            </w:r>
            <w:r>
              <w:rPr>
                <w:rFonts w:ascii="仿宋" w:hAnsi="仿宋" w:cs="Arial"/>
                <w:kern w:val="0"/>
                <w:sz w:val="21"/>
                <w:szCs w:val="21"/>
              </w:rPr>
              <w:t xml:space="preserve"> SS202410</w:t>
            </w:r>
          </w:p>
        </w:tc>
        <w:tc>
          <w:tcPr>
            <w:tcW w:w="782" w:type="dxa"/>
            <w:shd w:val="clear" w:color="auto" w:fill="auto"/>
            <w:noWrap/>
            <w:vAlign w:val="center"/>
          </w:tcPr>
          <w:p w14:paraId="335C9186">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商办</w:t>
            </w:r>
          </w:p>
        </w:tc>
        <w:tc>
          <w:tcPr>
            <w:tcW w:w="928" w:type="dxa"/>
            <w:shd w:val="clear" w:color="auto" w:fill="auto"/>
            <w:noWrap/>
            <w:vAlign w:val="center"/>
          </w:tcPr>
          <w:p w14:paraId="2ECAC12B">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97,312</w:t>
            </w:r>
          </w:p>
        </w:tc>
        <w:tc>
          <w:tcPr>
            <w:tcW w:w="1132" w:type="dxa"/>
            <w:shd w:val="clear" w:color="auto" w:fill="auto"/>
            <w:noWrap/>
            <w:vAlign w:val="center"/>
          </w:tcPr>
          <w:p w14:paraId="33615BB9">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58,752</w:t>
            </w:r>
          </w:p>
        </w:tc>
        <w:tc>
          <w:tcPr>
            <w:tcW w:w="1642" w:type="dxa"/>
            <w:shd w:val="clear" w:color="auto" w:fill="auto"/>
            <w:noWrap/>
            <w:vAlign w:val="center"/>
          </w:tcPr>
          <w:p w14:paraId="1C6F9A43">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合肥市轨道交通投资发展有限公司</w:t>
            </w:r>
          </w:p>
        </w:tc>
        <w:tc>
          <w:tcPr>
            <w:tcW w:w="788" w:type="dxa"/>
            <w:shd w:val="clear" w:color="auto" w:fill="auto"/>
            <w:noWrap/>
            <w:vAlign w:val="center"/>
          </w:tcPr>
          <w:p w14:paraId="007DB1B1">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12-19</w:t>
            </w:r>
          </w:p>
        </w:tc>
      </w:tr>
      <w:tr w14:paraId="1F4F0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16" w:type="dxa"/>
            <w:shd w:val="clear" w:color="auto" w:fill="auto"/>
            <w:noWrap/>
            <w:vAlign w:val="center"/>
          </w:tcPr>
          <w:p w14:paraId="0A203C3E">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11</w:t>
            </w:r>
          </w:p>
        </w:tc>
        <w:tc>
          <w:tcPr>
            <w:tcW w:w="623" w:type="dxa"/>
            <w:shd w:val="clear" w:color="auto" w:fill="auto"/>
            <w:noWrap/>
            <w:vAlign w:val="center"/>
          </w:tcPr>
          <w:p w14:paraId="11B3D34B">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郑州</w:t>
            </w:r>
          </w:p>
        </w:tc>
        <w:tc>
          <w:tcPr>
            <w:tcW w:w="1785" w:type="dxa"/>
            <w:shd w:val="clear" w:color="auto" w:fill="auto"/>
            <w:noWrap/>
            <w:vAlign w:val="center"/>
          </w:tcPr>
          <w:p w14:paraId="3ABDA3A3">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中原东路南、大学北路西郑政出〔</w:t>
            </w:r>
            <w:r>
              <w:rPr>
                <w:rFonts w:ascii="仿宋" w:hAnsi="仿宋" w:cs="Arial"/>
                <w:kern w:val="0"/>
                <w:sz w:val="21"/>
                <w:szCs w:val="21"/>
              </w:rPr>
              <w:t>2024</w:t>
            </w:r>
            <w:r>
              <w:rPr>
                <w:rFonts w:hint="eastAsia" w:ascii="仿宋" w:hAnsi="仿宋" w:cs="宋体"/>
                <w:kern w:val="0"/>
                <w:sz w:val="21"/>
                <w:szCs w:val="21"/>
              </w:rPr>
              <w:t>〕</w:t>
            </w:r>
            <w:r>
              <w:rPr>
                <w:rFonts w:ascii="仿宋" w:hAnsi="仿宋" w:cs="Arial"/>
                <w:kern w:val="0"/>
                <w:sz w:val="21"/>
                <w:szCs w:val="21"/>
              </w:rPr>
              <w:t>29</w:t>
            </w:r>
            <w:r>
              <w:rPr>
                <w:rFonts w:hint="eastAsia" w:ascii="仿宋" w:hAnsi="仿宋" w:cs="宋体"/>
                <w:kern w:val="0"/>
                <w:sz w:val="21"/>
                <w:szCs w:val="21"/>
              </w:rPr>
              <w:t>号（网）</w:t>
            </w:r>
          </w:p>
        </w:tc>
        <w:tc>
          <w:tcPr>
            <w:tcW w:w="782" w:type="dxa"/>
            <w:shd w:val="clear" w:color="auto" w:fill="auto"/>
            <w:noWrap/>
            <w:vAlign w:val="center"/>
          </w:tcPr>
          <w:p w14:paraId="183B7152">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纯住宅</w:t>
            </w:r>
          </w:p>
        </w:tc>
        <w:tc>
          <w:tcPr>
            <w:tcW w:w="928" w:type="dxa"/>
            <w:shd w:val="clear" w:color="auto" w:fill="auto"/>
            <w:noWrap/>
            <w:vAlign w:val="center"/>
          </w:tcPr>
          <w:p w14:paraId="604A8A74">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37,053</w:t>
            </w:r>
          </w:p>
        </w:tc>
        <w:tc>
          <w:tcPr>
            <w:tcW w:w="1132" w:type="dxa"/>
            <w:shd w:val="clear" w:color="auto" w:fill="auto"/>
            <w:noWrap/>
            <w:vAlign w:val="center"/>
          </w:tcPr>
          <w:p w14:paraId="26AE5F68">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28,762</w:t>
            </w:r>
          </w:p>
        </w:tc>
        <w:tc>
          <w:tcPr>
            <w:tcW w:w="1642" w:type="dxa"/>
            <w:shd w:val="clear" w:color="auto" w:fill="auto"/>
            <w:noWrap/>
            <w:vAlign w:val="center"/>
          </w:tcPr>
          <w:p w14:paraId="249D81DF">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郑州轨道汇居房地产开发有限公司</w:t>
            </w:r>
          </w:p>
        </w:tc>
        <w:tc>
          <w:tcPr>
            <w:tcW w:w="788" w:type="dxa"/>
            <w:shd w:val="clear" w:color="auto" w:fill="auto"/>
            <w:noWrap/>
            <w:vAlign w:val="center"/>
          </w:tcPr>
          <w:p w14:paraId="498C1D5B">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12-26</w:t>
            </w:r>
          </w:p>
        </w:tc>
      </w:tr>
      <w:tr w14:paraId="038F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16" w:type="dxa"/>
            <w:shd w:val="clear" w:color="auto" w:fill="auto"/>
            <w:noWrap/>
            <w:vAlign w:val="center"/>
          </w:tcPr>
          <w:p w14:paraId="34FE4199">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12</w:t>
            </w:r>
          </w:p>
        </w:tc>
        <w:tc>
          <w:tcPr>
            <w:tcW w:w="623" w:type="dxa"/>
            <w:shd w:val="clear" w:color="auto" w:fill="auto"/>
            <w:noWrap/>
            <w:vAlign w:val="center"/>
          </w:tcPr>
          <w:p w14:paraId="192768B2">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徐州</w:t>
            </w:r>
          </w:p>
        </w:tc>
        <w:tc>
          <w:tcPr>
            <w:tcW w:w="1785" w:type="dxa"/>
            <w:shd w:val="clear" w:color="auto" w:fill="auto"/>
            <w:noWrap/>
            <w:vAlign w:val="center"/>
          </w:tcPr>
          <w:p w14:paraId="17E82D8A">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彭祖大道东、昆仑大道北大龙湖地铁站北地块</w:t>
            </w:r>
            <w:r>
              <w:rPr>
                <w:rFonts w:ascii="仿宋" w:hAnsi="仿宋" w:cs="Arial"/>
                <w:kern w:val="0"/>
                <w:sz w:val="21"/>
                <w:szCs w:val="21"/>
              </w:rPr>
              <w:t>2024-132</w:t>
            </w:r>
          </w:p>
        </w:tc>
        <w:tc>
          <w:tcPr>
            <w:tcW w:w="782" w:type="dxa"/>
            <w:shd w:val="clear" w:color="auto" w:fill="auto"/>
            <w:noWrap/>
            <w:vAlign w:val="center"/>
          </w:tcPr>
          <w:p w14:paraId="4127B570">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商住</w:t>
            </w:r>
          </w:p>
        </w:tc>
        <w:tc>
          <w:tcPr>
            <w:tcW w:w="928" w:type="dxa"/>
            <w:shd w:val="clear" w:color="auto" w:fill="auto"/>
            <w:noWrap/>
            <w:vAlign w:val="center"/>
          </w:tcPr>
          <w:p w14:paraId="6034B2E7">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191,475</w:t>
            </w:r>
          </w:p>
        </w:tc>
        <w:tc>
          <w:tcPr>
            <w:tcW w:w="1132" w:type="dxa"/>
            <w:shd w:val="clear" w:color="auto" w:fill="auto"/>
            <w:noWrap/>
            <w:vAlign w:val="center"/>
          </w:tcPr>
          <w:p w14:paraId="60C022A8">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49,241</w:t>
            </w:r>
          </w:p>
        </w:tc>
        <w:tc>
          <w:tcPr>
            <w:tcW w:w="1642" w:type="dxa"/>
            <w:shd w:val="clear" w:color="auto" w:fill="auto"/>
            <w:noWrap/>
            <w:vAlign w:val="center"/>
          </w:tcPr>
          <w:p w14:paraId="4AA63EE2">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徐州市隆兴建设发展有限公司</w:t>
            </w:r>
          </w:p>
        </w:tc>
        <w:tc>
          <w:tcPr>
            <w:tcW w:w="788" w:type="dxa"/>
            <w:shd w:val="clear" w:color="auto" w:fill="auto"/>
            <w:noWrap/>
            <w:vAlign w:val="center"/>
          </w:tcPr>
          <w:p w14:paraId="66C736D2">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12-29</w:t>
            </w:r>
          </w:p>
        </w:tc>
      </w:tr>
      <w:tr w14:paraId="78505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16" w:type="dxa"/>
            <w:shd w:val="clear" w:color="auto" w:fill="auto"/>
            <w:noWrap/>
            <w:vAlign w:val="center"/>
          </w:tcPr>
          <w:p w14:paraId="20ACD07C">
            <w:pPr>
              <w:widowControl/>
              <w:spacing w:line="240" w:lineRule="auto"/>
              <w:ind w:firstLine="0" w:firstLineChars="0"/>
              <w:jc w:val="center"/>
              <w:rPr>
                <w:rFonts w:hint="eastAsia" w:ascii="仿宋" w:hAnsi="仿宋" w:cs="宋体"/>
                <w:color w:val="000000"/>
                <w:kern w:val="0"/>
                <w:sz w:val="21"/>
                <w:szCs w:val="21"/>
              </w:rPr>
            </w:pPr>
          </w:p>
        </w:tc>
        <w:tc>
          <w:tcPr>
            <w:tcW w:w="623" w:type="dxa"/>
            <w:shd w:val="clear" w:color="auto" w:fill="auto"/>
            <w:noWrap/>
            <w:vAlign w:val="center"/>
          </w:tcPr>
          <w:p w14:paraId="20C6F60C">
            <w:pPr>
              <w:widowControl/>
              <w:spacing w:line="240" w:lineRule="auto"/>
              <w:ind w:firstLine="0" w:firstLineChars="0"/>
              <w:jc w:val="center"/>
              <w:rPr>
                <w:rFonts w:hint="eastAsia" w:ascii="仿宋" w:hAnsi="仿宋" w:cs="宋体"/>
                <w:kern w:val="0"/>
                <w:sz w:val="21"/>
                <w:szCs w:val="21"/>
              </w:rPr>
            </w:pPr>
            <w:r>
              <w:rPr>
                <w:rFonts w:hint="eastAsia" w:ascii="仿宋" w:hAnsi="仿宋" w:cs="宋体"/>
                <w:kern w:val="0"/>
                <w:sz w:val="21"/>
                <w:szCs w:val="21"/>
              </w:rPr>
              <w:t>合计</w:t>
            </w:r>
          </w:p>
        </w:tc>
        <w:tc>
          <w:tcPr>
            <w:tcW w:w="1785" w:type="dxa"/>
            <w:shd w:val="clear" w:color="auto" w:fill="auto"/>
            <w:noWrap/>
            <w:vAlign w:val="center"/>
          </w:tcPr>
          <w:p w14:paraId="0BD9EB67">
            <w:pPr>
              <w:widowControl/>
              <w:spacing w:line="240" w:lineRule="auto"/>
              <w:ind w:firstLine="0" w:firstLineChars="0"/>
              <w:jc w:val="center"/>
              <w:rPr>
                <w:rFonts w:hint="eastAsia" w:ascii="仿宋" w:hAnsi="仿宋" w:cs="宋体"/>
                <w:kern w:val="0"/>
                <w:sz w:val="21"/>
                <w:szCs w:val="21"/>
              </w:rPr>
            </w:pPr>
          </w:p>
        </w:tc>
        <w:tc>
          <w:tcPr>
            <w:tcW w:w="782" w:type="dxa"/>
            <w:shd w:val="clear" w:color="auto" w:fill="auto"/>
            <w:noWrap/>
            <w:vAlign w:val="center"/>
          </w:tcPr>
          <w:p w14:paraId="42287502">
            <w:pPr>
              <w:widowControl/>
              <w:spacing w:line="240" w:lineRule="auto"/>
              <w:ind w:firstLine="0" w:firstLineChars="0"/>
              <w:jc w:val="center"/>
              <w:rPr>
                <w:rFonts w:hint="eastAsia" w:ascii="仿宋" w:hAnsi="仿宋" w:cs="Times New Roman"/>
                <w:kern w:val="0"/>
                <w:sz w:val="21"/>
                <w:szCs w:val="21"/>
              </w:rPr>
            </w:pPr>
          </w:p>
        </w:tc>
        <w:tc>
          <w:tcPr>
            <w:tcW w:w="928" w:type="dxa"/>
            <w:shd w:val="clear" w:color="auto" w:fill="auto"/>
            <w:noWrap/>
            <w:vAlign w:val="center"/>
          </w:tcPr>
          <w:p w14:paraId="7B14757A">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951,687</w:t>
            </w:r>
          </w:p>
        </w:tc>
        <w:tc>
          <w:tcPr>
            <w:tcW w:w="1132" w:type="dxa"/>
            <w:shd w:val="clear" w:color="auto" w:fill="auto"/>
            <w:noWrap/>
            <w:vAlign w:val="center"/>
          </w:tcPr>
          <w:p w14:paraId="5AEBCA32">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1,150,683</w:t>
            </w:r>
          </w:p>
        </w:tc>
        <w:tc>
          <w:tcPr>
            <w:tcW w:w="1642" w:type="dxa"/>
            <w:shd w:val="clear" w:color="auto" w:fill="auto"/>
            <w:noWrap/>
            <w:vAlign w:val="center"/>
          </w:tcPr>
          <w:p w14:paraId="26316E1A">
            <w:pPr>
              <w:widowControl/>
              <w:spacing w:line="240" w:lineRule="auto"/>
              <w:ind w:firstLine="0" w:firstLineChars="0"/>
              <w:jc w:val="center"/>
              <w:rPr>
                <w:rFonts w:hint="eastAsia" w:ascii="仿宋" w:hAnsi="仿宋" w:cs="Times New Roman"/>
                <w:kern w:val="0"/>
                <w:sz w:val="21"/>
                <w:szCs w:val="21"/>
              </w:rPr>
            </w:pPr>
          </w:p>
        </w:tc>
        <w:tc>
          <w:tcPr>
            <w:tcW w:w="788" w:type="dxa"/>
            <w:shd w:val="clear" w:color="auto" w:fill="auto"/>
            <w:noWrap/>
            <w:vAlign w:val="center"/>
          </w:tcPr>
          <w:p w14:paraId="5159AD0B">
            <w:pPr>
              <w:widowControl/>
              <w:spacing w:line="240" w:lineRule="auto"/>
              <w:ind w:firstLine="0" w:firstLineChars="0"/>
              <w:jc w:val="center"/>
              <w:rPr>
                <w:rFonts w:hint="eastAsia" w:ascii="仿宋" w:hAnsi="仿宋" w:cs="Times New Roman"/>
                <w:kern w:val="0"/>
                <w:sz w:val="21"/>
                <w:szCs w:val="21"/>
              </w:rPr>
            </w:pPr>
          </w:p>
        </w:tc>
      </w:tr>
    </w:tbl>
    <w:p w14:paraId="5012E7CB">
      <w:pPr>
        <w:widowControl/>
        <w:shd w:val="clear" w:color="auto" w:fill="FFFFFF"/>
        <w:ind w:firstLine="420"/>
        <w:rPr>
          <w:rFonts w:hint="eastAsia" w:ascii="仿宋" w:hAnsi="仿宋" w:cs="Arial"/>
          <w:color w:val="222222"/>
          <w:sz w:val="21"/>
          <w:szCs w:val="20"/>
          <w:shd w:val="clear" w:color="auto" w:fill="FFFFFF"/>
          <w:lang w:bidi="ar"/>
        </w:rPr>
      </w:pPr>
      <w:r>
        <w:rPr>
          <w:rFonts w:hint="eastAsia" w:ascii="仿宋" w:hAnsi="仿宋" w:cs="Arial"/>
          <w:color w:val="222222"/>
          <w:sz w:val="21"/>
          <w:szCs w:val="20"/>
          <w:shd w:val="clear" w:color="auto" w:fill="FFFFFF"/>
          <w:lang w:bidi="ar"/>
        </w:rPr>
        <w:t>数据来源：C</w:t>
      </w:r>
      <w:r>
        <w:rPr>
          <w:rFonts w:ascii="仿宋" w:hAnsi="仿宋" w:cs="Arial"/>
          <w:color w:val="222222"/>
          <w:sz w:val="21"/>
          <w:szCs w:val="20"/>
          <w:shd w:val="clear" w:color="auto" w:fill="FFFFFF"/>
          <w:lang w:bidi="ar"/>
        </w:rPr>
        <w:t>RIC</w:t>
      </w:r>
      <w:r>
        <w:rPr>
          <w:rFonts w:hint="eastAsia" w:ascii="仿宋" w:hAnsi="仿宋" w:cs="Arial"/>
          <w:color w:val="222222"/>
          <w:sz w:val="21"/>
          <w:szCs w:val="20"/>
          <w:shd w:val="clear" w:color="auto" w:fill="FFFFFF"/>
          <w:lang w:bidi="ar"/>
        </w:rPr>
        <w:t>、易居研究院</w:t>
      </w:r>
    </w:p>
    <w:bookmarkEnd w:id="26"/>
    <w:p w14:paraId="571F7DA9">
      <w:pPr>
        <w:pStyle w:val="2"/>
        <w:numPr>
          <w:ilvl w:val="0"/>
          <w:numId w:val="4"/>
        </w:numPr>
        <w:ind w:left="442" w:hanging="442"/>
        <w:rPr>
          <w:rFonts w:hint="eastAsia" w:ascii="仿宋" w:hAnsi="仿宋"/>
          <w:shd w:val="clear" w:color="auto" w:fill="FFFFFF"/>
          <w:lang w:bidi="ar"/>
        </w:rPr>
      </w:pPr>
      <w:bookmarkStart w:id="29" w:name="_Toc187665053"/>
      <w:r>
        <w:rPr>
          <w:rFonts w:hint="eastAsia" w:ascii="仿宋" w:hAnsi="仿宋"/>
          <w:shd w:val="clear" w:color="auto" w:fill="FFFFFF"/>
          <w:lang w:bidi="ar"/>
        </w:rPr>
        <w:t>广州地铁地产发布TOD产品“黄金五律”，转型为全面的生活方式服务商</w:t>
      </w:r>
      <w:bookmarkEnd w:id="29"/>
    </w:p>
    <w:p w14:paraId="58AE219D">
      <w:pPr>
        <w:pStyle w:val="48"/>
        <w:ind w:firstLine="480"/>
        <w:rPr>
          <w:rFonts w:hint="eastAsia" w:ascii="仿宋" w:hAnsi="仿宋"/>
          <w:lang w:bidi="en-US"/>
        </w:rPr>
      </w:pPr>
      <w:r>
        <w:rPr>
          <w:rFonts w:ascii="仿宋" w:hAnsi="仿宋"/>
          <w:lang w:bidi="en-US"/>
        </w:rPr>
        <w:t>12月20日，“轨道之上致尚生活”2024广州地铁地产TOD生活发布大会举行</w:t>
      </w:r>
      <w:r>
        <w:rPr>
          <w:rFonts w:hint="eastAsia" w:ascii="仿宋" w:hAnsi="仿宋"/>
          <w:lang w:bidi="en-US"/>
        </w:rPr>
        <w:t>，</w:t>
      </w:r>
      <w:r>
        <w:rPr>
          <w:rFonts w:ascii="仿宋" w:hAnsi="仿宋"/>
          <w:lang w:bidi="en-US"/>
        </w:rPr>
        <w:t>广州地铁正式发布《广州轨道交通TOD白皮书（2024）》，从政府、市民、轨道交通企业、房地产开发商等多个角度，对广州轨道交通TOD发展趋势及成果进行全面展示。广州地铁地产TOD产品“黄金五律”</w:t>
      </w:r>
      <w:r>
        <w:rPr>
          <w:rFonts w:hint="eastAsia" w:ascii="仿宋" w:hAnsi="仿宋"/>
          <w:lang w:bidi="en-US"/>
        </w:rPr>
        <w:t>发布，即</w:t>
      </w:r>
      <w:r>
        <w:rPr>
          <w:rFonts w:ascii="仿宋" w:hAnsi="仿宋"/>
          <w:lang w:bidi="en-US"/>
        </w:rPr>
        <w:t>“安全、准点、舒适、便捷、人文”，同时强调将延续广州地铁集团“全程为你”的服务理念进行TOD开发。广州地铁地产发布2025年品牌主张——链接万种生活。与此同时，广州地铁地产发升级业主权益，推出“LINK FOR YOU”TOD业主社群计划，链接“地铁生活圈”，链接文化、艺术、教育、体育、社区人文等多种生活体验。“LINK FOR YOU”计划的推出，标志着广州地铁地产从单一的交通枢纽提供者，转变为全面的生活方式服务商，推动城市生活品质提升。</w:t>
      </w:r>
    </w:p>
    <w:p w14:paraId="5AB90EE0">
      <w:pPr>
        <w:pStyle w:val="2"/>
        <w:numPr>
          <w:ilvl w:val="0"/>
          <w:numId w:val="4"/>
        </w:numPr>
        <w:rPr>
          <w:rFonts w:hint="eastAsia" w:ascii="仿宋" w:hAnsi="仿宋" w:cs="Arial"/>
          <w:color w:val="222222"/>
          <w:kern w:val="0"/>
          <w:szCs w:val="24"/>
          <w:shd w:val="clear" w:color="auto" w:fill="FFFFFF"/>
          <w:lang w:bidi="ar"/>
        </w:rPr>
      </w:pPr>
      <w:bookmarkStart w:id="30" w:name="_Toc187665054"/>
      <w:r>
        <w:rPr>
          <w:rFonts w:hint="eastAsia" w:ascii="仿宋" w:hAnsi="仿宋" w:cs="Arial"/>
          <w:color w:val="222222"/>
          <w:kern w:val="0"/>
          <w:szCs w:val="24"/>
          <w:shd w:val="clear" w:color="auto" w:fill="FFFFFF"/>
          <w:lang w:bidi="ar"/>
        </w:rPr>
        <w:t>无锡经开区和无锡地铁集团签约贡湖湿地公园车辆段项目</w:t>
      </w:r>
      <w:bookmarkEnd w:id="30"/>
    </w:p>
    <w:p w14:paraId="087C8E42">
      <w:pPr>
        <w:pStyle w:val="48"/>
        <w:ind w:firstLine="480"/>
        <w:rPr>
          <w:rFonts w:hint="eastAsia" w:ascii="仿宋" w:hAnsi="仿宋"/>
          <w:lang w:bidi="en-US"/>
        </w:rPr>
      </w:pPr>
      <w:r>
        <w:rPr>
          <w:rFonts w:hint="eastAsia" w:ascii="仿宋" w:hAnsi="仿宋"/>
          <w:lang w:bidi="en-US"/>
        </w:rPr>
        <w:t>12月30日，无锡经开区党工委书记、管委会主任吴虹娟带队赴无锡地铁集团，就深化双方合作开展交流座谈。地铁集团党委书记、董事局主席张军，副总裁朱军，经开区党工委委员、管委会副主任杨燕敏参加会议。座谈会上，</w:t>
      </w:r>
      <w:r>
        <w:rPr>
          <w:rFonts w:ascii="仿宋" w:hAnsi="仿宋"/>
          <w:lang w:bidi="en-US"/>
        </w:rPr>
        <w:t>无锡地铁6号线贡湖湿地公园车辆段地块开发合作协议正式签约，充分发挥地铁集团规划、设计、建设管理一体化系统优势，将贡湖湾车辆段项目打造成湖岸之间有机衔接、功能作用智慧立体、各类效益高位联动的高品质TOD项目，推动科产城人进一步融合，赋能新质生产力加速发展。该项目位于干城路与南湖大道交叉口东北侧，接轨于奥体中心站，占地面积26.33公顷，车辆段用地面积18.14公顷，用地性质为商住混合、教育及公共交通场站用地。</w:t>
      </w:r>
    </w:p>
    <w:p w14:paraId="78FE9205">
      <w:pPr>
        <w:pStyle w:val="21"/>
        <w:spacing w:before="0" w:beforeAutospacing="0" w:after="0" w:afterAutospacing="0" w:line="360" w:lineRule="auto"/>
        <w:ind w:firstLine="480"/>
        <w:rPr>
          <w:rFonts w:hint="eastAsia" w:ascii="仿宋" w:hAnsi="仿宋" w:eastAsia="仿宋" w:cs="Arial"/>
          <w:color w:val="222222"/>
          <w:shd w:val="clear" w:color="auto" w:fill="FFFFFF"/>
          <w:lang w:bidi="ar"/>
        </w:rPr>
      </w:pPr>
    </w:p>
    <w:p w14:paraId="0F01C36A">
      <w:pPr>
        <w:pStyle w:val="48"/>
        <w:ind w:firstLine="480"/>
        <w:rPr>
          <w:shd w:val="clear" w:color="auto" w:fill="FFFFFF"/>
          <w:lang w:bidi="ar"/>
        </w:rPr>
      </w:pPr>
    </w:p>
    <w:bookmarkEnd w:id="27"/>
    <w:p w14:paraId="2AB90355">
      <w:pPr>
        <w:ind w:firstLine="480"/>
        <w:rPr>
          <w:rFonts w:hint="eastAsia" w:ascii="仿宋" w:hAnsi="仿宋"/>
        </w:rPr>
        <w:sectPr>
          <w:pgSz w:w="11906" w:h="16838"/>
          <w:pgMar w:top="1440" w:right="1800" w:bottom="1440" w:left="1800" w:header="1474" w:footer="964" w:gutter="0"/>
          <w:cols w:space="425" w:num="1"/>
          <w:docGrid w:type="lines" w:linePitch="326" w:charSpace="0"/>
        </w:sectPr>
      </w:pPr>
    </w:p>
    <w:p w14:paraId="65ECF687">
      <w:pPr>
        <w:pStyle w:val="2"/>
        <w:keepLines/>
        <w:widowControl w:val="0"/>
        <w:spacing w:before="163" w:after="163"/>
        <w:jc w:val="center"/>
        <w:rPr>
          <w:rFonts w:hint="eastAsia" w:ascii="黑体" w:hAnsi="黑体" w:eastAsia="黑体" w:cs="Times New Roman"/>
          <w:color w:val="5B9BD5" w:themeColor="accent5"/>
          <w:kern w:val="44"/>
          <w:sz w:val="28"/>
          <w14:textFill>
            <w14:solidFill>
              <w14:schemeClr w14:val="accent5"/>
            </w14:solidFill>
          </w14:textFill>
        </w:rPr>
      </w:pPr>
      <w:bookmarkStart w:id="31" w:name="_Toc187665055"/>
      <w:r>
        <w:rPr>
          <w:rFonts w:hint="eastAsia" w:ascii="黑体" w:hAnsi="黑体" w:eastAsia="黑体" w:cs="Times New Roman"/>
          <w:color w:val="5B9BD5" w:themeColor="accent5"/>
          <w:kern w:val="44"/>
          <w:sz w:val="28"/>
          <w14:textFill>
            <w14:solidFill>
              <w14:schemeClr w14:val="accent5"/>
            </w14:solidFill>
          </w14:textFill>
        </w:rPr>
        <w:t>四</w:t>
      </w:r>
      <w:r>
        <w:rPr>
          <w:rFonts w:ascii="黑体" w:hAnsi="黑体" w:eastAsia="黑体" w:cs="Times New Roman"/>
          <w:color w:val="5B9BD5" w:themeColor="accent5"/>
          <w:kern w:val="44"/>
          <w:sz w:val="28"/>
          <w14:textFill>
            <w14:solidFill>
              <w14:schemeClr w14:val="accent5"/>
            </w14:solidFill>
          </w14:textFill>
        </w:rPr>
        <w:t>、项目动态</w:t>
      </w:r>
      <w:bookmarkEnd w:id="31"/>
    </w:p>
    <w:p w14:paraId="65F20296">
      <w:pPr>
        <w:pStyle w:val="2"/>
        <w:numPr>
          <w:ilvl w:val="0"/>
          <w:numId w:val="5"/>
        </w:numPr>
        <w:rPr>
          <w:rFonts w:hint="eastAsia" w:ascii="仿宋" w:hAnsi="仿宋" w:cs="Arial"/>
          <w:color w:val="222222"/>
          <w:kern w:val="0"/>
          <w:szCs w:val="24"/>
          <w:shd w:val="clear" w:color="auto" w:fill="FFFFFF"/>
          <w:lang w:bidi="ar"/>
        </w:rPr>
      </w:pPr>
      <w:bookmarkStart w:id="32" w:name="_Toc187665056"/>
      <w:r>
        <w:rPr>
          <w:rFonts w:hint="eastAsia" w:ascii="仿宋" w:hAnsi="仿宋" w:cs="Arial"/>
          <w:color w:val="222222"/>
          <w:kern w:val="0"/>
          <w:szCs w:val="24"/>
          <w:shd w:val="clear" w:color="auto" w:fill="FFFFFF"/>
          <w:lang w:bidi="ar"/>
        </w:rPr>
        <w:t>漳州</w:t>
      </w:r>
      <w:r>
        <w:rPr>
          <w:rFonts w:ascii="仿宋" w:hAnsi="仿宋" w:cs="Arial"/>
          <w:color w:val="222222"/>
          <w:kern w:val="0"/>
          <w:szCs w:val="24"/>
          <w:shd w:val="clear" w:color="auto" w:fill="FFFFFF"/>
          <w:lang w:bidi="ar"/>
        </w:rPr>
        <w:t>台商区首个TOD第四代生态住宅角美万达城市展厅正式开放</w:t>
      </w:r>
      <w:bookmarkEnd w:id="32"/>
    </w:p>
    <w:p w14:paraId="6AF2D864">
      <w:pPr>
        <w:pStyle w:val="48"/>
        <w:ind w:firstLine="480"/>
        <w:rPr>
          <w:rFonts w:hint="eastAsia" w:ascii="仿宋" w:hAnsi="仿宋"/>
          <w:lang w:bidi="en-US"/>
        </w:rPr>
      </w:pPr>
      <w:r>
        <w:rPr>
          <w:rFonts w:ascii="仿宋" w:hAnsi="仿宋"/>
          <w:lang w:bidi="en-US"/>
        </w:rPr>
        <w:t>近日，漳州台商投资区首个TOD第四代生态住宅城市展厅，在角美万达广场正式开放。据悉，此次台商资产集团推出的TOD项目，位于漳州台商投资区角江路与山水大道交汇处，用地面积49330㎡，总建筑面积19万㎡。规划建设住宅12栋，百米高度甲级写字楼1栋，商业及配套共8000㎡。此次推出的项目作为厦门市轨道交通6号线角美延伸段地铁上盖的台商区首个TOD四代宅项目，让居民可足不出社区就可以搭乘地铁出行，同时还临近台商区两大商圈，商业配套齐全，生活非常便利。</w:t>
      </w:r>
    </w:p>
    <w:p w14:paraId="2FB84919">
      <w:pPr>
        <w:pStyle w:val="2"/>
        <w:numPr>
          <w:ilvl w:val="0"/>
          <w:numId w:val="5"/>
        </w:numPr>
        <w:rPr>
          <w:rFonts w:hint="eastAsia" w:ascii="仿宋" w:hAnsi="仿宋"/>
          <w:shd w:val="clear" w:color="auto" w:fill="FFFFFF"/>
          <w:lang w:bidi="ar"/>
        </w:rPr>
      </w:pPr>
      <w:bookmarkStart w:id="33" w:name="_Toc187665057"/>
      <w:r>
        <w:rPr>
          <w:rFonts w:hint="eastAsia" w:ascii="仿宋" w:hAnsi="仿宋"/>
          <w:shd w:val="clear" w:color="auto" w:fill="FFFFFF"/>
          <w:lang w:bidi="ar"/>
        </w:rPr>
        <w:t>深铁璟城人才房开盘首日三房售罄</w:t>
      </w:r>
      <w:bookmarkEnd w:id="33"/>
    </w:p>
    <w:p w14:paraId="4BD8FE13">
      <w:pPr>
        <w:ind w:firstLine="480"/>
        <w:rPr>
          <w:rFonts w:hint="eastAsia" w:ascii="仿宋" w:hAnsi="仿宋"/>
          <w:kern w:val="0"/>
          <w:szCs w:val="24"/>
          <w:lang w:bidi="en-US"/>
        </w:rPr>
      </w:pPr>
      <w:r>
        <w:rPr>
          <w:rFonts w:hint="eastAsia" w:ascii="仿宋" w:hAnsi="仿宋"/>
          <w:kern w:val="0"/>
          <w:szCs w:val="24"/>
          <w:lang w:bidi="en-US"/>
        </w:rPr>
        <w:t>12月7至8日，位于深圳宝安的深铁璟城人才房正式开启集中线下选房，共配售房源738套，包含建筑面积约90平方米的三房户型和70平方米的两房户型。其中配售的277套（不包含无障碍户型）深铁璟城人才房三房户型全部售罄，认购率达到100%，成为深铁置业一个月内旗下开盘项目的又一热销产品。深铁璟城位于深圳宝安松岗片区，直达地铁11号线碧头站，一站衔接地铁6号线，建面约70万平方米，是深铁集团践行“轨道+物业”匠心打造的集商品房住宅、可售型人才房缤纷商业、运动公园等于一体的TOD标杆综合社区。</w:t>
      </w:r>
    </w:p>
    <w:p w14:paraId="52C47E43">
      <w:pPr>
        <w:pStyle w:val="2"/>
        <w:numPr>
          <w:ilvl w:val="0"/>
          <w:numId w:val="5"/>
        </w:numPr>
        <w:rPr>
          <w:rFonts w:hint="eastAsia" w:ascii="仿宋" w:hAnsi="仿宋" w:cs="Arial"/>
          <w:color w:val="222222"/>
          <w:kern w:val="0"/>
          <w:szCs w:val="24"/>
          <w:shd w:val="clear" w:color="auto" w:fill="FFFFFF"/>
          <w:lang w:bidi="ar"/>
        </w:rPr>
      </w:pPr>
      <w:bookmarkStart w:id="34" w:name="_Toc187665058"/>
      <w:r>
        <w:rPr>
          <w:rFonts w:ascii="仿宋" w:hAnsi="仿宋" w:cs="Arial"/>
          <w:color w:val="222222"/>
          <w:kern w:val="0"/>
          <w:szCs w:val="24"/>
          <w:shd w:val="clear" w:color="auto" w:fill="FFFFFF"/>
          <w:lang w:bidi="ar"/>
        </w:rPr>
        <w:t>天津市首个“养老+医疗+酒店”高铁TOD综合项目全面启动</w:t>
      </w:r>
      <w:bookmarkEnd w:id="34"/>
    </w:p>
    <w:p w14:paraId="6B8E8A15">
      <w:pPr>
        <w:pStyle w:val="48"/>
        <w:ind w:firstLine="480"/>
        <w:rPr>
          <w:rFonts w:hint="eastAsia" w:ascii="仿宋" w:hAnsi="仿宋"/>
          <w:lang w:bidi="en-US"/>
        </w:rPr>
      </w:pPr>
      <w:r>
        <w:rPr>
          <w:rFonts w:hint="eastAsia" w:ascii="仿宋" w:hAnsi="仿宋"/>
          <w:lang w:bidi="en-US"/>
        </w:rPr>
        <w:t>12月10日消息，</w:t>
      </w:r>
      <w:r>
        <w:rPr>
          <w:rFonts w:ascii="仿宋" w:hAnsi="仿宋"/>
          <w:lang w:bidi="en-US"/>
        </w:rPr>
        <w:t>天津市首个“养老+医疗+酒店”高铁TOD综合项目全面启动。鹏瑞利国际健康商旅城总建筑面积达33万平方米，总投资约50亿元，涵盖鹏瑞利康护社区、鹏瑞利国际医疗健康中心、鹏瑞利明宇酒店集群三大核心业态。其中，养老板块康养公寓、护理院、微养居家健康护理站已正式投入运营，半护理院目前入住长者100余人；酒店板块三、四星酒店已于8月开门纳客，累计营业收入近300万元；医疗板块已完成竣工验收，将于12月底试运营。</w:t>
      </w:r>
    </w:p>
    <w:p w14:paraId="0E5398EE">
      <w:pPr>
        <w:pStyle w:val="2"/>
        <w:numPr>
          <w:ilvl w:val="0"/>
          <w:numId w:val="5"/>
        </w:numPr>
        <w:rPr>
          <w:rFonts w:hint="eastAsia" w:ascii="仿宋" w:hAnsi="仿宋" w:cs="Arial"/>
          <w:color w:val="222222"/>
          <w:kern w:val="0"/>
          <w:szCs w:val="24"/>
          <w:shd w:val="clear" w:color="auto" w:fill="FFFFFF"/>
          <w:lang w:bidi="ar"/>
        </w:rPr>
      </w:pPr>
      <w:bookmarkStart w:id="35" w:name="_Toc187665059"/>
      <w:r>
        <w:rPr>
          <w:rFonts w:ascii="仿宋" w:hAnsi="仿宋" w:cs="Arial"/>
          <w:color w:val="222222"/>
          <w:kern w:val="0"/>
          <w:szCs w:val="24"/>
          <w:shd w:val="clear" w:color="auto" w:fill="FFFFFF"/>
          <w:lang w:bidi="ar"/>
        </w:rPr>
        <w:t>天津轨道交通集团“津铁·镜界”项目一期工程顺利通过竣工验收</w:t>
      </w:r>
      <w:bookmarkEnd w:id="35"/>
    </w:p>
    <w:p w14:paraId="1EA98005">
      <w:pPr>
        <w:pStyle w:val="48"/>
        <w:ind w:firstLine="480"/>
        <w:rPr>
          <w:rFonts w:hint="eastAsia" w:ascii="仿宋" w:hAnsi="仿宋"/>
          <w:lang w:bidi="en-US"/>
        </w:rPr>
      </w:pPr>
      <w:r>
        <w:rPr>
          <w:rFonts w:ascii="仿宋" w:hAnsi="仿宋"/>
          <w:lang w:bidi="en-US"/>
        </w:rPr>
        <w:t>近日，“津铁·镜界”项目一期工程32栋住宅、6栋配套公建全部顺利通过竣工验收，为项目2025年按期交房奠定了坚实基础。</w:t>
      </w:r>
      <w:r>
        <w:rPr>
          <w:rFonts w:ascii="仿宋" w:hAnsi="仿宋"/>
          <w:lang w:bidi="en-US"/>
        </w:rPr>
        <w:fldChar w:fldCharType="begin"/>
      </w:r>
      <w:r>
        <w:rPr>
          <w:rFonts w:ascii="仿宋" w:hAnsi="仿宋"/>
          <w:lang w:bidi="en-US"/>
        </w:rPr>
        <w:instrText xml:space="preserve">INCLUDEPICTURE\d"https://mmbiz.qpic.cn/sz_mmbiz_jpg/xnanJeA5v7ghg6PhXO4d9msVgicF6QAOIhKbjBTUKTkKT2EQrPlDPgYBVl5Svk3icYSHiaT2Wq0Ef71pxR1BnY2vg/640?wx_fmt=other&amp;from=appmsg&amp;wxfrom=5&amp;wx_lazy=1&amp;wx_co=1&amp;tp=webp"\*MERGEFORMATINET</w:instrText>
      </w:r>
      <w:r>
        <w:rPr>
          <w:rFonts w:ascii="仿宋" w:hAnsi="仿宋"/>
          <w:lang w:bidi="en-US"/>
        </w:rPr>
        <w:fldChar w:fldCharType="separate"/>
      </w:r>
      <w:r>
        <w:rPr>
          <w:rFonts w:ascii="仿宋" w:hAnsi="仿宋"/>
          <w:lang w:bidi="en-US"/>
        </w:rPr>
        <w:pict>
          <v:shape id="_x0000_i1025" o:spt="75" type="#_x0000_t75" style="height:253.2pt;width:445.25pt;" filled="f" o:preferrelative="t" stroked="f" coordsize="21600,21600">
            <v:path/>
            <v:fill on="f" focussize="0,0"/>
            <v:stroke on="f" joinstyle="miter"/>
            <v:imagedata r:id="rId15" o:title=""/>
            <o:lock v:ext="edit" grouping="t" aspectratio="t"/>
            <w10:wrap type="none"/>
            <w10:anchorlock/>
          </v:shape>
        </w:pict>
      </w:r>
      <w:r>
        <w:rPr>
          <w:rFonts w:ascii="仿宋" w:hAnsi="仿宋"/>
          <w:lang w:bidi="en-US"/>
        </w:rPr>
        <w:fldChar w:fldCharType="end"/>
      </w:r>
      <w:r>
        <w:rPr>
          <w:rFonts w:ascii="仿宋" w:hAnsi="仿宋"/>
          <w:lang w:bidi="en-US"/>
        </w:rPr>
        <w:t>“津铁·镜界”项目位于静海区团泊健康城内，总建筑面积22.1万平米，为1.25超低容积率墅境居住区，全系产品客厅开间大于4米。项目自开工至今始终秉持“质量至上”原则，过硬品质受到客户充分信赖与认可，持续取得销售佳绩。</w:t>
      </w:r>
    </w:p>
    <w:p w14:paraId="7ACE0A2E">
      <w:pPr>
        <w:pStyle w:val="2"/>
        <w:numPr>
          <w:ilvl w:val="0"/>
          <w:numId w:val="5"/>
        </w:numPr>
        <w:rPr>
          <w:rFonts w:hint="eastAsia" w:ascii="仿宋" w:hAnsi="仿宋" w:cs="Arial"/>
          <w:color w:val="222222"/>
          <w:kern w:val="0"/>
          <w:szCs w:val="24"/>
          <w:shd w:val="clear" w:color="auto" w:fill="FFFFFF"/>
          <w:lang w:bidi="ar"/>
        </w:rPr>
      </w:pPr>
      <w:bookmarkStart w:id="36" w:name="_Toc187665060"/>
      <w:r>
        <w:rPr>
          <w:rFonts w:hint="eastAsia" w:ascii="仿宋" w:hAnsi="仿宋" w:cs="Arial"/>
          <w:color w:val="222222"/>
          <w:kern w:val="0"/>
          <w:szCs w:val="24"/>
          <w:shd w:val="clear" w:color="auto" w:fill="FFFFFF"/>
          <w:lang w:bidi="ar"/>
        </w:rPr>
        <w:t>上海市</w:t>
      </w:r>
      <w:r>
        <w:rPr>
          <w:rFonts w:ascii="仿宋" w:hAnsi="仿宋" w:cs="Arial"/>
          <w:color w:val="222222"/>
          <w:kern w:val="0"/>
          <w:szCs w:val="24"/>
          <w:shd w:val="clear" w:color="auto" w:fill="FFFFFF"/>
          <w:lang w:bidi="ar"/>
        </w:rPr>
        <w:t>奉贤区环城北路车辆基地TOD综合开发国际方案征集</w:t>
      </w:r>
      <w:bookmarkEnd w:id="36"/>
    </w:p>
    <w:p w14:paraId="25240AD7">
      <w:pPr>
        <w:pStyle w:val="48"/>
        <w:ind w:firstLine="480"/>
        <w:rPr>
          <w:rFonts w:hint="eastAsia" w:ascii="仿宋" w:hAnsi="仿宋"/>
          <w:lang w:bidi="en-US"/>
        </w:rPr>
      </w:pPr>
      <w:r>
        <w:rPr>
          <w:rFonts w:hint="eastAsia" w:ascii="仿宋" w:hAnsi="仿宋"/>
          <w:lang w:bidi="en-US"/>
        </w:rPr>
        <w:t>12月13日，</w:t>
      </w:r>
      <w:r>
        <w:rPr>
          <w:rFonts w:ascii="仿宋" w:hAnsi="仿宋"/>
          <w:lang w:bidi="en-US"/>
        </w:rPr>
        <w:t>上海</w:t>
      </w:r>
      <w:r>
        <w:rPr>
          <w:rFonts w:hint="eastAsia" w:ascii="仿宋" w:hAnsi="仿宋"/>
          <w:lang w:bidi="en-US"/>
        </w:rPr>
        <w:t>市</w:t>
      </w:r>
      <w:r>
        <w:rPr>
          <w:rFonts w:ascii="仿宋" w:hAnsi="仿宋"/>
          <w:lang w:bidi="en-US"/>
        </w:rPr>
        <w:t>奉贤区环城北路车辆基地TOD综合开发组织开展国际方案征集活动</w:t>
      </w:r>
      <w:r>
        <w:rPr>
          <w:rFonts w:hint="eastAsia" w:ascii="仿宋" w:hAnsi="仿宋"/>
          <w:lang w:bidi="en-US"/>
        </w:rPr>
        <w:t>。</w:t>
      </w:r>
      <w:r>
        <w:rPr>
          <w:rFonts w:ascii="仿宋" w:hAnsi="仿宋"/>
          <w:lang w:bidi="en-US"/>
        </w:rPr>
        <w:t>环城北路站作为轨道交通15号线进入奉贤新城的第一站，是奉贤新城内畅外联的重要交通节点片区，先行启动的非产业功能，综合开发区域对该片区整体转型起着带动作用。目前《上海市奉贤新城南桥镇部分单元规划》（在编）对环城北路车辆基地及周边区域的开发总量、功能导向、人口容量、基础配套等要求已初步明确。为进一步明确功能内涵，优化空间布局，创新发展路径，塑造空间特色，为后期的开发建设和运营管理奠定良好的基础，现对该区域开展TOD综合开发的国际方案征集活动。奉贤区环城北路车辆基地位于上海奉贤新城南桥镇FXC1-0017单元内，设置在轨道交通15号线环城北路站南侧，基地交通便捷，环境优美，宜居宜业。</w:t>
      </w:r>
    </w:p>
    <w:p w14:paraId="33F73E09">
      <w:pPr>
        <w:pStyle w:val="2"/>
        <w:numPr>
          <w:ilvl w:val="0"/>
          <w:numId w:val="5"/>
        </w:numPr>
        <w:rPr>
          <w:rFonts w:hint="eastAsia" w:ascii="仿宋" w:hAnsi="仿宋" w:cs="Arial"/>
          <w:color w:val="222222"/>
          <w:kern w:val="0"/>
          <w:szCs w:val="24"/>
          <w:shd w:val="clear" w:color="auto" w:fill="FFFFFF"/>
          <w:lang w:bidi="ar"/>
        </w:rPr>
      </w:pPr>
      <w:bookmarkStart w:id="37" w:name="_Toc187665061"/>
      <w:r>
        <w:rPr>
          <w:rFonts w:hint="eastAsia" w:ascii="仿宋" w:hAnsi="仿宋" w:cs="Arial"/>
          <w:color w:val="222222"/>
          <w:kern w:val="0"/>
          <w:szCs w:val="24"/>
          <w:shd w:val="clear" w:color="auto" w:fill="FFFFFF"/>
          <w:lang w:bidi="ar"/>
        </w:rPr>
        <w:t>厦门地铁资产首个自主招商运营的商业街区-</w:t>
      </w:r>
      <w:r>
        <w:rPr>
          <w:rFonts w:ascii="仿宋" w:hAnsi="仿宋" w:cs="Arial"/>
          <w:color w:val="222222"/>
          <w:kern w:val="0"/>
          <w:szCs w:val="24"/>
          <w:shd w:val="clear" w:color="auto" w:fill="FFFFFF"/>
          <w:lang w:bidi="ar"/>
        </w:rPr>
        <w:t>杏锦TOD·锦悦里南区开业</w:t>
      </w:r>
      <w:bookmarkEnd w:id="37"/>
    </w:p>
    <w:p w14:paraId="73BF18CA">
      <w:pPr>
        <w:pStyle w:val="48"/>
        <w:ind w:firstLine="480"/>
        <w:rPr>
          <w:rFonts w:hint="eastAsia" w:ascii="仿宋" w:hAnsi="仿宋"/>
          <w:lang w:bidi="en-US"/>
        </w:rPr>
      </w:pPr>
      <w:r>
        <w:rPr>
          <w:rFonts w:ascii="仿宋" w:hAnsi="仿宋"/>
          <w:lang w:bidi="en-US"/>
        </w:rPr>
        <w:t>12月15日集美商业新地标——杏锦TOD·锦悦里南区开业亮相</w:t>
      </w:r>
      <w:r>
        <w:rPr>
          <w:rFonts w:hint="eastAsia" w:ascii="仿宋" w:hAnsi="仿宋"/>
          <w:lang w:bidi="en-US"/>
        </w:rPr>
        <w:t>，</w:t>
      </w:r>
      <w:r>
        <w:rPr>
          <w:rFonts w:ascii="仿宋" w:hAnsi="仿宋"/>
          <w:lang w:bidi="en-US"/>
        </w:rPr>
        <w:t>举办多业态、多场景的“厦门地铁生活节”让市民体验到多元的地铁生活</w:t>
      </w:r>
      <w:r>
        <w:rPr>
          <w:rFonts w:hint="eastAsia" w:ascii="仿宋" w:hAnsi="仿宋"/>
          <w:lang w:bidi="en-US"/>
        </w:rPr>
        <w:t>。</w:t>
      </w:r>
      <w:r>
        <w:rPr>
          <w:rFonts w:ascii="仿宋" w:hAnsi="仿宋"/>
          <w:lang w:bidi="en-US"/>
        </w:rPr>
        <w:t>杏锦TOD·锦悦里是</w:t>
      </w:r>
      <w:bookmarkStart w:id="38" w:name="_Hlk186829119"/>
      <w:r>
        <w:rPr>
          <w:rFonts w:ascii="仿宋" w:hAnsi="仿宋"/>
          <w:lang w:bidi="en-US"/>
        </w:rPr>
        <w:t>厦门地铁资产首个自主招商运营的商业街区项目</w:t>
      </w:r>
      <w:bookmarkEnd w:id="38"/>
      <w:r>
        <w:rPr>
          <w:rFonts w:ascii="仿宋" w:hAnsi="仿宋"/>
          <w:lang w:bidi="en-US"/>
        </w:rPr>
        <w:t>，项目分为北区及南区，已入驻品牌商家42家，以开放式、漫游式街区的形式，在特色业态、空间场景美学、创新活动等方面全力打造烟火气与高品质兼备的生活、社交欢聚地。此外，项目携同商家及杏锦路地铁站站点、联发物业、住总物业，合力搭建的“锦悦红邻里服务中心”也正式揭牌，为周边居民提供咨询接待、便民服务、基本应急医疗、公益活动等多种服务，旨在让地铁商业街区成为美好生活的承载体。</w:t>
      </w:r>
    </w:p>
    <w:p w14:paraId="0526E4C0">
      <w:pPr>
        <w:pStyle w:val="2"/>
        <w:numPr>
          <w:ilvl w:val="0"/>
          <w:numId w:val="5"/>
        </w:numPr>
        <w:rPr>
          <w:rFonts w:hint="eastAsia" w:ascii="仿宋" w:hAnsi="仿宋" w:cs="Arial"/>
          <w:color w:val="222222"/>
          <w:kern w:val="0"/>
          <w:szCs w:val="24"/>
          <w:shd w:val="clear" w:color="auto" w:fill="FFFFFF"/>
          <w:lang w:bidi="ar"/>
        </w:rPr>
      </w:pPr>
      <w:bookmarkStart w:id="39" w:name="_Toc187665062"/>
      <w:r>
        <w:rPr>
          <w:rFonts w:ascii="仿宋" w:hAnsi="仿宋" w:cs="Arial"/>
          <w:color w:val="222222"/>
          <w:kern w:val="0"/>
          <w:szCs w:val="24"/>
          <w:shd w:val="clear" w:color="auto" w:fill="FFFFFF"/>
          <w:lang w:bidi="ar"/>
        </w:rPr>
        <w:t>佛山地铁三号线钟楼站TOD项目主体结构封顶</w:t>
      </w:r>
      <w:bookmarkEnd w:id="39"/>
    </w:p>
    <w:p w14:paraId="7F66B6D3">
      <w:pPr>
        <w:pStyle w:val="48"/>
        <w:ind w:firstLine="480"/>
        <w:rPr>
          <w:rFonts w:hint="eastAsia" w:ascii="仿宋" w:hAnsi="仿宋"/>
          <w:lang w:bidi="en-US"/>
        </w:rPr>
      </w:pPr>
      <w:r>
        <w:rPr>
          <w:rFonts w:ascii="仿宋" w:hAnsi="仿宋"/>
          <w:lang w:bidi="en-US"/>
        </w:rPr>
        <w:t>12月18日上午，随着顶板最后一块结构浇筑完成，中铁一局承建的佛山地铁三号线大良钟楼站TOD项目主体结构顺利封顶，意味着大良钟楼公园离焕新升级又更进一步。项目总用地面积为36681.74平方米，规划总建筑面积69526.69平方米，分两期建设。项目为地下三层建筑，开挖深度15.4米，总建筑面积6.9万平方米。项目采用TOD综合开发模式，主要任务是对原钟楼公园的改造升级，保留和活化原有历史文物建筑。以文化+公共交通作为开发导向，以“凤鸣朝阳·气聚大良”为理念，传承历史文脉、留存集体记忆，并着重从城市配套上提升能级、品质，致力打造为老城区的新会客厅。</w:t>
      </w:r>
    </w:p>
    <w:p w14:paraId="19820EA7">
      <w:pPr>
        <w:pStyle w:val="2"/>
        <w:numPr>
          <w:ilvl w:val="0"/>
          <w:numId w:val="5"/>
        </w:numPr>
        <w:rPr>
          <w:rFonts w:hint="eastAsia" w:ascii="仿宋" w:hAnsi="仿宋" w:cs="Arial"/>
          <w:color w:val="222222"/>
          <w:kern w:val="0"/>
          <w:szCs w:val="24"/>
          <w:shd w:val="clear" w:color="auto" w:fill="FFFFFF"/>
          <w:lang w:bidi="ar"/>
        </w:rPr>
      </w:pPr>
      <w:bookmarkStart w:id="40" w:name="_Toc187665063"/>
      <w:r>
        <w:rPr>
          <w:rFonts w:hint="eastAsia" w:ascii="仿宋" w:hAnsi="仿宋" w:cs="Arial"/>
          <w:color w:val="222222"/>
          <w:kern w:val="0"/>
          <w:szCs w:val="24"/>
          <w:shd w:val="clear" w:color="auto" w:fill="FFFFFF"/>
          <w:lang w:bidi="ar"/>
        </w:rPr>
        <w:t>中骏商管旗下福州中骏世界城开业</w:t>
      </w:r>
      <w:bookmarkEnd w:id="40"/>
    </w:p>
    <w:p w14:paraId="3F1171E4">
      <w:pPr>
        <w:pStyle w:val="48"/>
        <w:ind w:firstLine="480"/>
        <w:rPr>
          <w:rFonts w:hint="eastAsia" w:ascii="仿宋" w:hAnsi="仿宋"/>
          <w:lang w:bidi="en-US"/>
        </w:rPr>
      </w:pPr>
      <w:r>
        <w:rPr>
          <w:rFonts w:ascii="仿宋" w:hAnsi="仿宋"/>
          <w:lang w:bidi="en-US"/>
        </w:rPr>
        <w:t>12月20日，中骏商管旗下福州中骏世界城开业，首日客流突破20万。该项目为区域内首个城市TOD商业综合体，商业面积14万平方米，定位为“都市潮流领地”，聚焦Z世代消费趋势，打造特色商业内容，如“生活方式超级品牌旗舰店”、“潮牌首进矩阵”、“福建最大二次元”等。福州中骏世界城引入超300个知名品牌，打造“超级品牌旗舰店”矩阵，为城市消费注入新动力。如福建最大规模的华为超级生活方式旗舰店，叠加咖啡馆服务，实现零售与体验的跨界组合。同时，项目还打造福建最大室内运动泛乐空间YUMEWORLD，以及多家人气生活方式品牌的“顶配”旗舰店，塑造全新的消费体验。</w:t>
      </w:r>
    </w:p>
    <w:p w14:paraId="63539CF0">
      <w:pPr>
        <w:pStyle w:val="2"/>
        <w:numPr>
          <w:ilvl w:val="0"/>
          <w:numId w:val="5"/>
        </w:numPr>
        <w:rPr>
          <w:rFonts w:hint="eastAsia" w:ascii="仿宋" w:hAnsi="仿宋" w:cs="Arial"/>
          <w:color w:val="222222"/>
          <w:kern w:val="0"/>
          <w:szCs w:val="24"/>
          <w:shd w:val="clear" w:color="auto" w:fill="FFFFFF"/>
          <w:lang w:bidi="ar"/>
        </w:rPr>
      </w:pPr>
      <w:bookmarkStart w:id="41" w:name="_Toc187665064"/>
      <w:r>
        <w:rPr>
          <w:rFonts w:hint="eastAsia" w:ascii="仿宋" w:hAnsi="仿宋" w:cs="Arial"/>
          <w:color w:val="222222"/>
          <w:kern w:val="0"/>
          <w:szCs w:val="24"/>
          <w:shd w:val="clear" w:color="auto" w:fill="FFFFFF"/>
          <w:lang w:bidi="ar"/>
        </w:rPr>
        <w:t>成都</w:t>
      </w:r>
      <w:r>
        <w:rPr>
          <w:rFonts w:ascii="仿宋" w:hAnsi="仿宋" w:cs="Arial"/>
          <w:color w:val="222222"/>
          <w:kern w:val="0"/>
          <w:szCs w:val="24"/>
          <w:shd w:val="clear" w:color="auto" w:fill="FFFFFF"/>
          <w:lang w:bidi="ar"/>
        </w:rPr>
        <w:t>幸福桥、秦皇寺TOD迎来大型商业综合体</w:t>
      </w:r>
      <w:bookmarkEnd w:id="41"/>
    </w:p>
    <w:p w14:paraId="67BA2EEA">
      <w:pPr>
        <w:pStyle w:val="48"/>
        <w:ind w:firstLine="480"/>
        <w:rPr>
          <w:rFonts w:hint="eastAsia" w:ascii="仿宋" w:hAnsi="仿宋"/>
          <w:lang w:bidi="en-US"/>
        </w:rPr>
      </w:pPr>
      <w:r>
        <w:rPr>
          <w:rFonts w:ascii="仿宋" w:hAnsi="仿宋"/>
          <w:lang w:bidi="en-US"/>
        </w:rPr>
        <w:t>12月20日、21日，位于幸福桥TOD的金牛招商花园城和位于秦皇寺TOD的天府招商花园城先后开门迎客。</w:t>
      </w:r>
      <w:r>
        <w:rPr>
          <w:rFonts w:hint="eastAsia" w:ascii="仿宋" w:hAnsi="仿宋"/>
          <w:lang w:bidi="en-US"/>
        </w:rPr>
        <w:t>其中</w:t>
      </w:r>
      <w:r>
        <w:rPr>
          <w:rFonts w:ascii="仿宋" w:hAnsi="仿宋"/>
          <w:lang w:bidi="en-US"/>
        </w:rPr>
        <w:t>幸福桥TOD项目位于成都市金牛区，坐落于天府大道沿线唯一的城市副中心——北部新城核心位置，紧邻地铁5号线幸福桥站，规划实施范围约464亩。此次开业的金牛招商花园城位于幸福桥TOD二期地块，由招商蛇口与成都轨道联合打造。项目以“向山行·空间城市交互所”为定位，在首层设立峡谷式公园商街，与川西花园景观、峡谷、河流、丛林交相辉映，打造区域景观最好的休闲氛围街区。在13.8万平米的空间内，精心布局品质餐饮、精品超市、3C数码、潮牌服装、时尚家居、休闲娱乐、素质教育等业态，解锁24小时惬意不打烊的城北社交生活新主场。</w:t>
      </w:r>
    </w:p>
    <w:p w14:paraId="403AF81B">
      <w:pPr>
        <w:pStyle w:val="48"/>
        <w:ind w:firstLine="480"/>
        <w:rPr>
          <w:rFonts w:hint="eastAsia" w:ascii="仿宋" w:hAnsi="仿宋"/>
          <w:lang w:bidi="en-US"/>
        </w:rPr>
      </w:pPr>
      <w:r>
        <w:rPr>
          <w:rFonts w:ascii="仿宋" w:hAnsi="仿宋"/>
          <w:lang w:bidi="en-US"/>
        </w:rPr>
        <w:t>天府招商花园城位于秦皇寺站TOD，紧邻成都地铁6号线秦皇寺站，是成都首个生态型购物中心。项目由40万平米公园和近50万平米商圈组成。其中，招商花园城商业部分的建筑面积达26万平米，其中购物中心超12万平米，涵盖精品城市奥莱、天府少年宫、城市运动中心等主题业态，以及超40家城市、区域首进品牌。为有效提升通达性，项目同样在B1、L1、L3运用三首层设计。秦皇寺TOD项目一体化设计范围约787亩，联接秦皇寺站、红莲村站、天府商务区西站等站点，集合商业、商务、居住三大城市功能，以立体化、多元化的生活场景，打造一座充满未来感的城市新中心。</w:t>
      </w:r>
    </w:p>
    <w:p w14:paraId="0A4B5FCD">
      <w:pPr>
        <w:pStyle w:val="2"/>
        <w:numPr>
          <w:ilvl w:val="0"/>
          <w:numId w:val="5"/>
        </w:numPr>
        <w:rPr>
          <w:rFonts w:hint="eastAsia" w:ascii="仿宋" w:hAnsi="仿宋" w:cs="Arial"/>
          <w:color w:val="222222"/>
          <w:kern w:val="0"/>
          <w:szCs w:val="24"/>
          <w:shd w:val="clear" w:color="auto" w:fill="FFFFFF"/>
          <w:lang w:bidi="ar"/>
        </w:rPr>
      </w:pPr>
      <w:bookmarkStart w:id="42" w:name="_Toc187665065"/>
      <w:r>
        <w:rPr>
          <w:rFonts w:hint="eastAsia" w:ascii="仿宋" w:hAnsi="仿宋" w:cs="Arial"/>
          <w:color w:val="222222"/>
          <w:kern w:val="0"/>
          <w:szCs w:val="24"/>
          <w:shd w:val="clear" w:color="auto" w:fill="FFFFFF"/>
          <w:lang w:bidi="ar"/>
        </w:rPr>
        <w:t>苏州地铁6号线</w:t>
      </w:r>
      <w:r>
        <w:rPr>
          <w:rFonts w:ascii="仿宋" w:hAnsi="仿宋" w:cs="Arial"/>
          <w:color w:val="222222"/>
          <w:kern w:val="0"/>
          <w:szCs w:val="24"/>
          <w:shd w:val="clear" w:color="auto" w:fill="FFFFFF"/>
          <w:lang w:bidi="ar"/>
        </w:rPr>
        <w:t>悬桥巷站</w:t>
      </w:r>
      <w:r>
        <w:rPr>
          <w:rFonts w:hint="eastAsia" w:ascii="仿宋" w:hAnsi="仿宋" w:cs="Arial"/>
          <w:color w:val="222222"/>
          <w:kern w:val="0"/>
          <w:szCs w:val="24"/>
          <w:shd w:val="clear" w:color="auto" w:fill="FFFFFF"/>
          <w:lang w:bidi="ar"/>
        </w:rPr>
        <w:t>城市更新</w:t>
      </w:r>
      <w:r>
        <w:rPr>
          <w:rFonts w:ascii="仿宋" w:hAnsi="仿宋" w:cs="Arial"/>
          <w:color w:val="222222"/>
          <w:kern w:val="0"/>
          <w:szCs w:val="24"/>
          <w:shd w:val="clear" w:color="auto" w:fill="FFFFFF"/>
          <w:lang w:bidi="ar"/>
        </w:rPr>
        <w:t>TOD</w:t>
      </w:r>
      <w:r>
        <w:rPr>
          <w:rFonts w:hint="eastAsia" w:ascii="仿宋" w:hAnsi="仿宋" w:cs="Arial"/>
          <w:color w:val="222222"/>
          <w:kern w:val="0"/>
          <w:szCs w:val="24"/>
          <w:shd w:val="clear" w:color="auto" w:fill="FFFFFF"/>
          <w:lang w:bidi="ar"/>
        </w:rPr>
        <w:t>项目</w:t>
      </w:r>
      <w:r>
        <w:rPr>
          <w:rFonts w:ascii="仿宋" w:hAnsi="仿宋" w:cs="Arial"/>
          <w:color w:val="222222"/>
          <w:kern w:val="0"/>
          <w:szCs w:val="24"/>
          <w:shd w:val="clear" w:color="auto" w:fill="FFFFFF"/>
          <w:lang w:bidi="ar"/>
        </w:rPr>
        <w:t>荣获2项设计大奖</w:t>
      </w:r>
      <w:bookmarkEnd w:id="42"/>
    </w:p>
    <w:p w14:paraId="0EDD4E4B">
      <w:pPr>
        <w:pStyle w:val="48"/>
        <w:ind w:firstLine="480"/>
        <w:rPr>
          <w:rFonts w:hint="eastAsia" w:ascii="仿宋" w:hAnsi="仿宋"/>
          <w:lang w:bidi="en-US"/>
        </w:rPr>
      </w:pPr>
      <w:r>
        <w:rPr>
          <w:rFonts w:ascii="仿宋" w:hAnsi="仿宋"/>
          <w:lang w:bidi="en-US"/>
        </w:rPr>
        <w:t>近日，由苏州轨道交通集团与苏州历史文化名城发展集团联合开发打造的苏州地铁6号线悬桥巷站城市更新TOD项目（简称：悬桥巷站TOD）</w:t>
      </w:r>
      <w:r>
        <w:rPr>
          <w:rFonts w:hint="eastAsia" w:ascii="仿宋" w:hAnsi="仿宋"/>
          <w:lang w:bidi="en-US"/>
        </w:rPr>
        <w:t>，</w:t>
      </w:r>
      <w:r>
        <w:rPr>
          <w:rFonts w:ascii="仿宋" w:hAnsi="仿宋"/>
          <w:lang w:bidi="en-US"/>
        </w:rPr>
        <w:t>获得了2024年伦敦国际设计奖(London Design Awards)景观设计景观改造类银奖(Silver Winner)与2024年园冶杯国际竞赛(Yuan Ye Awards Internationale Competition)城市更新奖银奖(Silver Winner)。悬桥巷站TOD，作为姑苏区首个城市更新TOD开发试点项目，</w:t>
      </w:r>
      <w:r>
        <w:rPr>
          <w:rFonts w:hint="eastAsia" w:ascii="仿宋" w:hAnsi="仿宋"/>
          <w:lang w:bidi="en-US"/>
        </w:rPr>
        <w:t>总建筑面积约3.7万方，位于平江街道悬桥巷，连接着平江历史文化街区、观前街两大热门街区，项目以苏州地铁6号线悬桥巷站为中心，融合文、商、旅、居四大功能，实现资源的最大化利用，打造新江南文化漫游目的地。项目在最初的设计规划时，便将“传承与焕新”作为核心命题，在此基础上实现了不一样的景观设计，呈现了苏州范与国际化兼具的视觉效果。</w:t>
      </w:r>
    </w:p>
    <w:p w14:paraId="406E5D68">
      <w:pPr>
        <w:pStyle w:val="2"/>
        <w:numPr>
          <w:ilvl w:val="0"/>
          <w:numId w:val="5"/>
        </w:numPr>
        <w:rPr>
          <w:rFonts w:hint="eastAsia" w:ascii="仿宋" w:hAnsi="仿宋" w:cs="Arial"/>
          <w:color w:val="222222"/>
          <w:kern w:val="0"/>
          <w:szCs w:val="24"/>
          <w:shd w:val="clear" w:color="auto" w:fill="FFFFFF"/>
          <w:lang w:bidi="ar"/>
        </w:rPr>
      </w:pPr>
      <w:bookmarkStart w:id="43" w:name="_Toc187665066"/>
      <w:r>
        <w:rPr>
          <w:rFonts w:hint="eastAsia" w:ascii="仿宋" w:hAnsi="仿宋" w:cs="Arial"/>
          <w:color w:val="222222"/>
          <w:kern w:val="0"/>
          <w:szCs w:val="24"/>
          <w:shd w:val="clear" w:color="auto" w:fill="FFFFFF"/>
          <w:lang w:bidi="ar"/>
        </w:rPr>
        <w:t>成都首个TOD开放式商业街区开业</w:t>
      </w:r>
      <w:bookmarkEnd w:id="43"/>
    </w:p>
    <w:p w14:paraId="61896D46">
      <w:pPr>
        <w:pStyle w:val="48"/>
        <w:ind w:firstLine="480"/>
        <w:rPr>
          <w:rFonts w:hint="eastAsia" w:ascii="仿宋" w:hAnsi="仿宋"/>
          <w:lang w:bidi="en-US"/>
        </w:rPr>
      </w:pPr>
      <w:r>
        <w:rPr>
          <w:rFonts w:hint="eastAsia" w:ascii="仿宋" w:hAnsi="仿宋"/>
          <w:lang w:bidi="en-US"/>
        </w:rPr>
        <w:t>12月24日，位于成都市双流区的二江寺TOD传来喜讯，一个兼具烟火气和时尚感的美食主题商业街区——“贰食肆24”正式开业，这是成都首个TOD开放式商业街区，这也是今年推出的第五个轨道TOD生活场景。</w:t>
      </w:r>
      <w:r>
        <w:rPr>
          <w:rFonts w:ascii="仿宋" w:hAnsi="仿宋"/>
          <w:lang w:bidi="en-US"/>
        </w:rPr>
        <w:t>二江寺TOD紧邻地铁5号线二江寺站，此次开业的“贰食肆24”商业街位于二江寺TOD核心区域，总建筑面积约6300平方米。“贰食肆24”的命名源于宋代的“食肆”（提供饮食服务的场所）文化，寓意着24节气的时令美食。“贰食肆24”商业街开业后，通过打造通勤、购物、休闲、娱乐、社交等诸多场景，有效构建二江寺TOD“便民生活圈”，健全片区商业配套，高效服务周边市民及通勤人群。</w:t>
      </w:r>
    </w:p>
    <w:p w14:paraId="7031F776">
      <w:pPr>
        <w:pStyle w:val="2"/>
        <w:numPr>
          <w:ilvl w:val="0"/>
          <w:numId w:val="5"/>
        </w:numPr>
        <w:rPr>
          <w:rFonts w:hint="eastAsia" w:ascii="仿宋" w:hAnsi="仿宋" w:cs="Arial"/>
          <w:color w:val="222222"/>
          <w:kern w:val="0"/>
          <w:szCs w:val="24"/>
          <w:shd w:val="clear" w:color="auto" w:fill="FFFFFF"/>
          <w:lang w:bidi="ar"/>
        </w:rPr>
      </w:pPr>
      <w:bookmarkStart w:id="44" w:name="_Toc187665067"/>
      <w:r>
        <w:rPr>
          <w:rFonts w:ascii="仿宋" w:hAnsi="仿宋" w:cs="Arial"/>
          <w:color w:val="222222"/>
          <w:kern w:val="0"/>
          <w:szCs w:val="24"/>
          <w:shd w:val="clear" w:color="auto" w:fill="FFFFFF"/>
          <w:lang w:bidi="ar"/>
        </w:rPr>
        <w:t>招商商管上海绿洲智谷花园里开业</w:t>
      </w:r>
      <w:bookmarkEnd w:id="44"/>
    </w:p>
    <w:p w14:paraId="0C5FA828">
      <w:pPr>
        <w:pStyle w:val="48"/>
        <w:ind w:firstLine="480"/>
        <w:rPr>
          <w:rFonts w:hint="eastAsia" w:ascii="仿宋" w:hAnsi="仿宋"/>
          <w:lang w:bidi="en-US"/>
        </w:rPr>
      </w:pPr>
      <w:r>
        <w:rPr>
          <w:rFonts w:ascii="仿宋" w:hAnsi="仿宋"/>
          <w:lang w:bidi="en-US"/>
        </w:rPr>
        <w:t>12月27日，长三角赵巷新兴产业经济发展（上海）有限公司与招商商管联合打造的绿洲智谷｜花园里（北区）在上海亮相，招商率90%，开业率90%。该项目作为围合式TOD地铁上盖商业，无缝衔接上海地铁17号线嘉松中路站，标志着产城社区商业与城市发展和产业生命周期紧密结合。项目位于长三角一体化示范区，致力于发展信息技术及数字经济、人工智能、生命健康及绿色产业，打造集商务办公、休闲商业、人才公寓和公共配套于一体的新一代数智产城社区。</w:t>
      </w:r>
    </w:p>
    <w:p w14:paraId="68E1C84E">
      <w:pPr>
        <w:pStyle w:val="2"/>
        <w:numPr>
          <w:ilvl w:val="0"/>
          <w:numId w:val="5"/>
        </w:numPr>
        <w:rPr>
          <w:rFonts w:hint="eastAsia" w:ascii="仿宋" w:hAnsi="仿宋" w:cs="Arial"/>
          <w:color w:val="222222"/>
          <w:kern w:val="0"/>
          <w:szCs w:val="24"/>
          <w:shd w:val="clear" w:color="auto" w:fill="FFFFFF"/>
          <w:lang w:bidi="ar"/>
        </w:rPr>
      </w:pPr>
      <w:bookmarkStart w:id="45" w:name="_Toc187665068"/>
      <w:r>
        <w:rPr>
          <w:rFonts w:hint="eastAsia" w:ascii="仿宋" w:hAnsi="仿宋" w:cs="Arial"/>
          <w:color w:val="222222"/>
          <w:kern w:val="0"/>
          <w:szCs w:val="24"/>
          <w:shd w:val="clear" w:color="auto" w:fill="FFFFFF"/>
          <w:lang w:bidi="ar"/>
        </w:rPr>
        <w:t>宁波市海曙首个轨道TOD保租房项目投用</w:t>
      </w:r>
      <w:bookmarkEnd w:id="45"/>
    </w:p>
    <w:p w14:paraId="1C29C4B9">
      <w:pPr>
        <w:pStyle w:val="48"/>
        <w:ind w:firstLine="480"/>
        <w:rPr>
          <w:rFonts w:hint="eastAsia" w:ascii="仿宋" w:hAnsi="仿宋"/>
          <w:lang w:bidi="en-US"/>
        </w:rPr>
      </w:pPr>
      <w:r>
        <w:rPr>
          <w:rFonts w:ascii="仿宋" w:hAnsi="仿宋"/>
          <w:lang w:bidi="en-US"/>
        </w:rPr>
        <w:t>12月28日，宁波海曙区首个轨道交通TOD保障性租赁住房项目——和美保寓兴宁桥西项目正式投用，为市核心区新增保租房房源307套。该项目地段和交通都可谓上佳——位于南苑饭店东侧，北面是仓基小区和中信银行大厦，南面是生活新境小区，不到10分钟车程内汇聚了天一阁·月湖景区和城隍庙、鼓楼、天一广场等多个成熟商圈，并且作为TOD项目，地下室与地铁4号线兴宁桥西站直连。项目所有房间配置了独立卫生间、独立阳台，厨房、床、沙发、衣柜等家具，以及空调、冰箱、洗衣机、油烟机、电磁炉等家电，可实现拎包入住。此外，项目还配置了书吧、共享厨房、生活服务点等配套空间，满足青年人多样化交流需求，促进邻里间和谐互动。</w:t>
      </w:r>
    </w:p>
    <w:p w14:paraId="670C95F7">
      <w:pPr>
        <w:pStyle w:val="48"/>
        <w:ind w:firstLine="480"/>
        <w:rPr>
          <w:rFonts w:hint="eastAsia" w:ascii="仿宋" w:hAnsi="仿宋"/>
          <w:lang w:bidi="en-US"/>
        </w:rPr>
      </w:pPr>
    </w:p>
    <w:p w14:paraId="3F32BE74">
      <w:pPr>
        <w:widowControl/>
        <w:ind w:firstLine="480"/>
        <w:jc w:val="center"/>
        <w:rPr>
          <w:rFonts w:hint="eastAsia" w:ascii="黑体" w:hAnsi="黑体" w:eastAsia="黑体"/>
          <w:szCs w:val="24"/>
        </w:rPr>
      </w:pPr>
    </w:p>
    <w:p w14:paraId="0C0F6B78">
      <w:pPr>
        <w:ind w:firstLine="480"/>
        <w:rPr>
          <w:rFonts w:hint="eastAsia" w:ascii="黑体" w:hAnsi="黑体" w:eastAsia="黑体"/>
          <w:szCs w:val="24"/>
        </w:rPr>
        <w:sectPr>
          <w:pgSz w:w="11906" w:h="16838"/>
          <w:pgMar w:top="1440" w:right="1800" w:bottom="1440" w:left="1800" w:header="1474" w:footer="964" w:gutter="0"/>
          <w:cols w:space="425" w:num="1"/>
          <w:docGrid w:type="lines" w:linePitch="326" w:charSpace="0"/>
        </w:sectPr>
      </w:pPr>
    </w:p>
    <w:p w14:paraId="492103A8">
      <w:pPr>
        <w:ind w:firstLine="480"/>
        <w:rPr>
          <w:rFonts w:hint="eastAsia" w:ascii="黑体" w:hAnsi="黑体" w:eastAsia="黑体"/>
          <w:szCs w:val="24"/>
        </w:rPr>
      </w:pPr>
      <w:r>
        <w:rPr>
          <w:rFonts w:hint="eastAsia" w:ascii="黑体" w:hAnsi="黑体" w:eastAsia="黑体"/>
          <w:szCs w:val="24"/>
        </w:rPr>
        <w:drawing>
          <wp:anchor distT="0" distB="0" distL="114300" distR="114300" simplePos="0" relativeHeight="251663360" behindDoc="1" locked="0" layoutInCell="1" allowOverlap="1">
            <wp:simplePos x="0" y="0"/>
            <wp:positionH relativeFrom="margin">
              <wp:align>center</wp:align>
            </wp:positionH>
            <wp:positionV relativeFrom="paragraph">
              <wp:posOffset>-901700</wp:posOffset>
            </wp:positionV>
            <wp:extent cx="7542530" cy="10664825"/>
            <wp:effectExtent l="0" t="0" r="1270" b="317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42627" cy="10664867"/>
                    </a:xfrm>
                    <a:prstGeom prst="rect">
                      <a:avLst/>
                    </a:prstGeom>
                  </pic:spPr>
                </pic:pic>
              </a:graphicData>
            </a:graphic>
          </wp:anchor>
        </w:drawing>
      </w:r>
    </w:p>
    <w:p w14:paraId="2707E75A">
      <w:pPr>
        <w:ind w:firstLine="480"/>
        <w:rPr>
          <w:rFonts w:hint="eastAsia" w:ascii="黑体" w:hAnsi="黑体" w:eastAsia="黑体"/>
          <w:szCs w:val="24"/>
        </w:rPr>
      </w:pPr>
    </w:p>
    <w:p w14:paraId="62E4CC8B">
      <w:pPr>
        <w:ind w:firstLine="480"/>
        <w:rPr>
          <w:rFonts w:hint="eastAsia" w:ascii="黑体" w:hAnsi="黑体" w:eastAsia="黑体"/>
          <w:szCs w:val="24"/>
        </w:rPr>
      </w:pPr>
      <w:r>
        <w:rPr>
          <w:rFonts w:ascii="黑体" w:hAnsi="黑体" w:eastAsia="黑体"/>
          <w:szCs w:val="24"/>
        </w:rPr>
        <mc:AlternateContent>
          <mc:Choice Requires="wps">
            <w:drawing>
              <wp:anchor distT="45720" distB="45720" distL="114300" distR="114300" simplePos="0" relativeHeight="251664384" behindDoc="0" locked="0" layoutInCell="1" allowOverlap="1">
                <wp:simplePos x="0" y="0"/>
                <wp:positionH relativeFrom="column">
                  <wp:posOffset>1531620</wp:posOffset>
                </wp:positionH>
                <wp:positionV relativeFrom="paragraph">
                  <wp:posOffset>855980</wp:posOffset>
                </wp:positionV>
                <wp:extent cx="2106295" cy="1280160"/>
                <wp:effectExtent l="0" t="0" r="0" b="0"/>
                <wp:wrapSquare wrapText="bothSides"/>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06295" cy="1280160"/>
                        </a:xfrm>
                        <a:prstGeom prst="rect">
                          <a:avLst/>
                        </a:prstGeom>
                        <a:noFill/>
                        <a:ln w="9525">
                          <a:noFill/>
                          <a:miter lim="800000"/>
                        </a:ln>
                      </wps:spPr>
                      <wps:txbx>
                        <w:txbxContent>
                          <w:p w14:paraId="4AE4B21F">
                            <w:pPr>
                              <w:ind w:firstLine="480"/>
                              <w:jc w:val="center"/>
                              <w:rPr>
                                <w:rFonts w:hint="eastAsia" w:ascii="微软雅黑" w:hAnsi="微软雅黑" w:eastAsia="微软雅黑"/>
                                <w:color w:val="FFFFFF" w:themeColor="background1"/>
                                <w:szCs w:val="28"/>
                                <w14:textFill>
                                  <w14:solidFill>
                                    <w14:schemeClr w14:val="bg1"/>
                                  </w14:solidFill>
                                </w14:textFill>
                              </w:rPr>
                            </w:pPr>
                            <w:r>
                              <w:rPr>
                                <w:rFonts w:hint="eastAsia" w:ascii="微软雅黑" w:hAnsi="微软雅黑" w:eastAsia="微软雅黑"/>
                                <w:color w:val="FFFFFF" w:themeColor="background1"/>
                                <w:szCs w:val="28"/>
                                <w14:textFill>
                                  <w14:solidFill>
                                    <w14:schemeClr w14:val="bg1"/>
                                  </w14:solidFill>
                                </w14:textFill>
                              </w:rPr>
                              <w:t>执笔人</w:t>
                            </w:r>
                          </w:p>
                          <w:p w14:paraId="42922115">
                            <w:pPr>
                              <w:ind w:firstLine="480"/>
                              <w:jc w:val="center"/>
                              <w:rPr>
                                <w:rFonts w:hint="eastAsia" w:ascii="微软雅黑" w:hAnsi="微软雅黑" w:eastAsia="微软雅黑"/>
                                <w:color w:val="FFFFFF" w:themeColor="background1"/>
                                <w:szCs w:val="28"/>
                                <w14:textFill>
                                  <w14:solidFill>
                                    <w14:schemeClr w14:val="bg1"/>
                                  </w14:solidFill>
                                </w14:textFill>
                              </w:rPr>
                            </w:pPr>
                            <w:r>
                              <w:rPr>
                                <w:rFonts w:hint="eastAsia" w:ascii="微软雅黑" w:hAnsi="微软雅黑" w:eastAsia="微软雅黑"/>
                                <w:color w:val="FFFFFF" w:themeColor="background1"/>
                                <w:szCs w:val="28"/>
                                <w14:textFill>
                                  <w14:solidFill>
                                    <w14:schemeClr w14:val="bg1"/>
                                  </w14:solidFill>
                                </w14:textFill>
                              </w:rPr>
                              <w:t>高鹏、宁佳琪、姚腊</w:t>
                            </w:r>
                          </w:p>
                          <w:p w14:paraId="62182671">
                            <w:pPr>
                              <w:ind w:firstLine="480"/>
                              <w:rPr>
                                <w:rFonts w:hint="eastAsia"/>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120.6pt;margin-top:67.4pt;height:100.8pt;width:165.85pt;mso-wrap-distance-bottom:3.6pt;mso-wrap-distance-left:9pt;mso-wrap-distance-right:9pt;mso-wrap-distance-top:3.6pt;z-index:251664384;mso-width-relative:margin;mso-height-relative:margin;mso-width-percent:400;mso-height-percent:200;" filled="f" stroked="f" coordsize="21600,21600" o:gfxdata="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i6187YAAAACwEAAA8AAAAAAAAAAQAgAAAAIgAAAGRycy9kb3ducmV2LnhtbFBLAQIUABQAAAAI&#10;AIdO4kAzxNFtJgIAACoEAAAOAAAAAAAAAAEAIAAAACcBAABkcnMvZTJvRG9jLnhtbFBLBQYAAAAA&#10;BgAGAFkBAAC/BQAAAAA=&#10;">
                <v:fill on="f" focussize="0,0"/>
                <v:stroke on="f" miterlimit="8" joinstyle="miter"/>
                <v:imagedata o:title=""/>
                <o:lock v:ext="edit" aspectratio="f"/>
                <v:textbox style="mso-fit-shape-to-text:t;">
                  <w:txbxContent>
                    <w:p w14:paraId="4AE4B21F">
                      <w:pPr>
                        <w:ind w:firstLine="480"/>
                        <w:jc w:val="center"/>
                        <w:rPr>
                          <w:rFonts w:hint="eastAsia" w:ascii="微软雅黑" w:hAnsi="微软雅黑" w:eastAsia="微软雅黑"/>
                          <w:color w:val="FFFFFF" w:themeColor="background1"/>
                          <w:szCs w:val="28"/>
                          <w14:textFill>
                            <w14:solidFill>
                              <w14:schemeClr w14:val="bg1"/>
                            </w14:solidFill>
                          </w14:textFill>
                        </w:rPr>
                      </w:pPr>
                      <w:r>
                        <w:rPr>
                          <w:rFonts w:hint="eastAsia" w:ascii="微软雅黑" w:hAnsi="微软雅黑" w:eastAsia="微软雅黑"/>
                          <w:color w:val="FFFFFF" w:themeColor="background1"/>
                          <w:szCs w:val="28"/>
                          <w14:textFill>
                            <w14:solidFill>
                              <w14:schemeClr w14:val="bg1"/>
                            </w14:solidFill>
                          </w14:textFill>
                        </w:rPr>
                        <w:t>执笔人</w:t>
                      </w:r>
                    </w:p>
                    <w:p w14:paraId="42922115">
                      <w:pPr>
                        <w:ind w:firstLine="480"/>
                        <w:jc w:val="center"/>
                        <w:rPr>
                          <w:rFonts w:hint="eastAsia" w:ascii="微软雅黑" w:hAnsi="微软雅黑" w:eastAsia="微软雅黑"/>
                          <w:color w:val="FFFFFF" w:themeColor="background1"/>
                          <w:szCs w:val="28"/>
                          <w14:textFill>
                            <w14:solidFill>
                              <w14:schemeClr w14:val="bg1"/>
                            </w14:solidFill>
                          </w14:textFill>
                        </w:rPr>
                      </w:pPr>
                      <w:r>
                        <w:rPr>
                          <w:rFonts w:hint="eastAsia" w:ascii="微软雅黑" w:hAnsi="微软雅黑" w:eastAsia="微软雅黑"/>
                          <w:color w:val="FFFFFF" w:themeColor="background1"/>
                          <w:szCs w:val="28"/>
                          <w14:textFill>
                            <w14:solidFill>
                              <w14:schemeClr w14:val="bg1"/>
                            </w14:solidFill>
                          </w14:textFill>
                        </w:rPr>
                        <w:t>高鹏、宁佳琪、姚腊</w:t>
                      </w:r>
                    </w:p>
                    <w:p w14:paraId="62182671">
                      <w:pPr>
                        <w:ind w:firstLine="480"/>
                        <w:rPr>
                          <w:rFonts w:hint="eastAsia"/>
                        </w:rPr>
                      </w:pPr>
                    </w:p>
                  </w:txbxContent>
                </v:textbox>
                <w10:wrap type="square"/>
              </v:shape>
            </w:pict>
          </mc:Fallback>
        </mc:AlternateConten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方正仿宋_GB2312">
    <w:panose1 w:val="02000000000000000000"/>
    <w:charset w:val="86"/>
    <w:family w:val="auto"/>
    <w:pitch w:val="default"/>
    <w:sig w:usb0="A00002BF" w:usb1="184F6CFA" w:usb2="00000012" w:usb3="00000000" w:csb0="00040001" w:csb1="00000000"/>
  </w:font>
  <w:font w:name="方正仿宋_GBK">
    <w:panose1 w:val="03000509000000000000"/>
    <w:charset w:val="86"/>
    <w:family w:val="auto"/>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0458022"/>
      <w:docPartObj>
        <w:docPartGallery w:val="AutoText"/>
      </w:docPartObj>
    </w:sdtPr>
    <w:sdtContent>
      <w:p w14:paraId="5CB8950F">
        <w:pPr>
          <w:pStyle w:val="15"/>
          <w:ind w:firstLine="360"/>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2810E90F">
    <w:pPr>
      <w:pStyle w:val="15"/>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AE71D">
    <w:pPr>
      <w:pStyle w:val="15"/>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9645C">
    <w:pPr>
      <w:pStyle w:val="15"/>
      <w:ind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06754">
    <w:pPr>
      <w:pStyle w:val="16"/>
      <w:pBdr>
        <w:bottom w:val="none" w:color="auto" w:sz="0" w:space="0"/>
      </w:pBdr>
      <w:ind w:firstLine="480"/>
      <w:rPr>
        <w:rFonts w:hint="eastAsia"/>
      </w:rPr>
    </w:pPr>
    <w:r>
      <w:rPr>
        <w:rFonts w:hint="eastAsia" w:ascii="仿宋" w:hAnsi="仿宋"/>
        <w:sz w:val="24"/>
        <w:szCs w:val="36"/>
      </w:rPr>
      <w:drawing>
        <wp:anchor distT="0" distB="0" distL="114300" distR="114300" simplePos="0" relativeHeight="251660288" behindDoc="1" locked="0" layoutInCell="1" allowOverlap="1">
          <wp:simplePos x="0" y="0"/>
          <wp:positionH relativeFrom="column">
            <wp:posOffset>-1130300</wp:posOffset>
          </wp:positionH>
          <wp:positionV relativeFrom="paragraph">
            <wp:posOffset>-1130935</wp:posOffset>
          </wp:positionV>
          <wp:extent cx="7565390" cy="1170305"/>
          <wp:effectExtent l="0" t="0" r="0" b="0"/>
          <wp:wrapNone/>
          <wp:docPr id="1689270013" name="图片 168927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70013" name="图片 16892700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456" cy="1170432"/>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D5B50">
    <w:pPr>
      <w:pStyle w:val="16"/>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DEC6D">
    <w:pPr>
      <w:pStyle w:val="16"/>
      <w:pBdr>
        <w:bottom w:val="none" w:color="auto" w:sz="0" w:space="0"/>
      </w:pBdr>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0D6C0">
    <w:pPr>
      <w:pStyle w:val="16"/>
      <w:pBdr>
        <w:bottom w:val="none" w:color="auto" w:sz="0" w:space="0"/>
      </w:pBdr>
      <w:ind w:firstLine="0" w:firstLineChars="0"/>
      <w:jc w:val="both"/>
      <w:rPr>
        <w:rFonts w:hint="eastAsia"/>
      </w:rPr>
    </w:pPr>
    <w:r>
      <w:rPr>
        <w:rFonts w:hint="eastAsia" w:ascii="仿宋" w:hAnsi="仿宋"/>
        <w:sz w:val="24"/>
        <w:szCs w:val="36"/>
      </w:rPr>
      <w:drawing>
        <wp:anchor distT="0" distB="0" distL="114300" distR="114300" simplePos="0" relativeHeight="251662336" behindDoc="1" locked="0" layoutInCell="1" allowOverlap="1">
          <wp:simplePos x="0" y="0"/>
          <wp:positionH relativeFrom="column">
            <wp:posOffset>-1130300</wp:posOffset>
          </wp:positionH>
          <wp:positionV relativeFrom="paragraph">
            <wp:posOffset>-1130935</wp:posOffset>
          </wp:positionV>
          <wp:extent cx="7565390" cy="1170305"/>
          <wp:effectExtent l="0" t="0" r="0" b="0"/>
          <wp:wrapNone/>
          <wp:docPr id="435533951" name="图片 43553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33951" name="图片 43553395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456" cy="1170432"/>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BF6C3">
    <w:pPr>
      <w:pStyle w:val="16"/>
      <w:pBdr>
        <w:bottom w:val="none" w:color="auto" w:sz="0" w:space="0"/>
      </w:pBdr>
      <w:ind w:firstLine="0" w:firstLineChars="0"/>
      <w:jc w:val="both"/>
      <w:rPr>
        <w:rFonts w:hint="eastAsia"/>
      </w:rPr>
    </w:pPr>
    <w:r>
      <w:rPr>
        <w:rFonts w:hint="eastAsia" w:ascii="仿宋" w:hAnsi="仿宋"/>
        <w:sz w:val="24"/>
        <w:szCs w:val="36"/>
      </w:rPr>
      <w:drawing>
        <wp:anchor distT="0" distB="0" distL="114300" distR="114300" simplePos="0" relativeHeight="251661312" behindDoc="1" locked="0" layoutInCell="1" allowOverlap="1">
          <wp:simplePos x="0" y="0"/>
          <wp:positionH relativeFrom="column">
            <wp:posOffset>-1130300</wp:posOffset>
          </wp:positionH>
          <wp:positionV relativeFrom="paragraph">
            <wp:posOffset>-1130935</wp:posOffset>
          </wp:positionV>
          <wp:extent cx="7565390" cy="1170305"/>
          <wp:effectExtent l="0" t="0" r="0" b="0"/>
          <wp:wrapNone/>
          <wp:docPr id="948416721" name="图片 94841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16721" name="图片 9484167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456" cy="117043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C65E59"/>
    <w:multiLevelType w:val="multilevel"/>
    <w:tmpl w:val="12C65E59"/>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2CFD346D"/>
    <w:multiLevelType w:val="multilevel"/>
    <w:tmpl w:val="2CFD346D"/>
    <w:lvl w:ilvl="0" w:tentative="0">
      <w:start w:val="1"/>
      <w:numFmt w:val="bullet"/>
      <w:pStyle w:val="22"/>
      <w:lvlText w:val=""/>
      <w:lvlJc w:val="left"/>
      <w:pPr>
        <w:ind w:left="420" w:hanging="420"/>
      </w:pPr>
      <w:rPr>
        <w:rFonts w:hint="default" w:ascii="Wingdings" w:hAnsi="Wingdings"/>
      </w:rPr>
    </w:lvl>
    <w:lvl w:ilvl="1" w:tentative="0">
      <w:start w:val="1"/>
      <w:numFmt w:val="bullet"/>
      <w:pStyle w:val="18"/>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4BE28D2"/>
    <w:multiLevelType w:val="multilevel"/>
    <w:tmpl w:val="34BE28D2"/>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588B02B4"/>
    <w:multiLevelType w:val="multilevel"/>
    <w:tmpl w:val="588B02B4"/>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79DE1F6F"/>
    <w:multiLevelType w:val="multilevel"/>
    <w:tmpl w:val="79DE1F6F"/>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C47"/>
    <w:rsid w:val="00000211"/>
    <w:rsid w:val="00001568"/>
    <w:rsid w:val="00003C2D"/>
    <w:rsid w:val="00004B22"/>
    <w:rsid w:val="00007B7E"/>
    <w:rsid w:val="000105CE"/>
    <w:rsid w:val="00010AAC"/>
    <w:rsid w:val="0001284A"/>
    <w:rsid w:val="0001370D"/>
    <w:rsid w:val="00014BF4"/>
    <w:rsid w:val="000167A1"/>
    <w:rsid w:val="000179F5"/>
    <w:rsid w:val="00020116"/>
    <w:rsid w:val="00020170"/>
    <w:rsid w:val="00020A19"/>
    <w:rsid w:val="00020B19"/>
    <w:rsid w:val="0002155E"/>
    <w:rsid w:val="00023A7E"/>
    <w:rsid w:val="00025B53"/>
    <w:rsid w:val="0002641E"/>
    <w:rsid w:val="00030514"/>
    <w:rsid w:val="000316B5"/>
    <w:rsid w:val="00032EF8"/>
    <w:rsid w:val="000369C6"/>
    <w:rsid w:val="00040674"/>
    <w:rsid w:val="00041C05"/>
    <w:rsid w:val="000427BE"/>
    <w:rsid w:val="0004280B"/>
    <w:rsid w:val="00045767"/>
    <w:rsid w:val="00045A8D"/>
    <w:rsid w:val="00046852"/>
    <w:rsid w:val="00050D93"/>
    <w:rsid w:val="000524B4"/>
    <w:rsid w:val="000538A1"/>
    <w:rsid w:val="00055E97"/>
    <w:rsid w:val="00056742"/>
    <w:rsid w:val="00056B5A"/>
    <w:rsid w:val="00056DA1"/>
    <w:rsid w:val="00057A4A"/>
    <w:rsid w:val="0006000F"/>
    <w:rsid w:val="00060FE7"/>
    <w:rsid w:val="000614BF"/>
    <w:rsid w:val="00061828"/>
    <w:rsid w:val="00061B91"/>
    <w:rsid w:val="0006310C"/>
    <w:rsid w:val="00064739"/>
    <w:rsid w:val="000669D2"/>
    <w:rsid w:val="000726E2"/>
    <w:rsid w:val="00077E3C"/>
    <w:rsid w:val="00081D97"/>
    <w:rsid w:val="00082B29"/>
    <w:rsid w:val="00083A19"/>
    <w:rsid w:val="00086765"/>
    <w:rsid w:val="00087FE4"/>
    <w:rsid w:val="000914A2"/>
    <w:rsid w:val="00091F60"/>
    <w:rsid w:val="00092EE2"/>
    <w:rsid w:val="000934C3"/>
    <w:rsid w:val="00093841"/>
    <w:rsid w:val="00093D0D"/>
    <w:rsid w:val="00093EE1"/>
    <w:rsid w:val="00094049"/>
    <w:rsid w:val="0009499A"/>
    <w:rsid w:val="0009540A"/>
    <w:rsid w:val="00095FD3"/>
    <w:rsid w:val="000A047E"/>
    <w:rsid w:val="000A2D6E"/>
    <w:rsid w:val="000A75E6"/>
    <w:rsid w:val="000B05B4"/>
    <w:rsid w:val="000B3882"/>
    <w:rsid w:val="000B496D"/>
    <w:rsid w:val="000B4FD2"/>
    <w:rsid w:val="000B6379"/>
    <w:rsid w:val="000C0EEA"/>
    <w:rsid w:val="000C0F57"/>
    <w:rsid w:val="000C125E"/>
    <w:rsid w:val="000C362F"/>
    <w:rsid w:val="000C3CB1"/>
    <w:rsid w:val="000C51DD"/>
    <w:rsid w:val="000C5490"/>
    <w:rsid w:val="000C5E30"/>
    <w:rsid w:val="000C5E75"/>
    <w:rsid w:val="000C5F7A"/>
    <w:rsid w:val="000C5FD7"/>
    <w:rsid w:val="000C68CD"/>
    <w:rsid w:val="000D1385"/>
    <w:rsid w:val="000D3D83"/>
    <w:rsid w:val="000D5176"/>
    <w:rsid w:val="000D6BAB"/>
    <w:rsid w:val="000D7545"/>
    <w:rsid w:val="000E36D6"/>
    <w:rsid w:val="000E56C7"/>
    <w:rsid w:val="000F1676"/>
    <w:rsid w:val="000F2AB9"/>
    <w:rsid w:val="000F308B"/>
    <w:rsid w:val="000F3E0B"/>
    <w:rsid w:val="000F7FD0"/>
    <w:rsid w:val="00100243"/>
    <w:rsid w:val="001033B2"/>
    <w:rsid w:val="001039C1"/>
    <w:rsid w:val="00103BF8"/>
    <w:rsid w:val="00103E77"/>
    <w:rsid w:val="001043E4"/>
    <w:rsid w:val="00106410"/>
    <w:rsid w:val="00107286"/>
    <w:rsid w:val="00107304"/>
    <w:rsid w:val="00111E43"/>
    <w:rsid w:val="0011287D"/>
    <w:rsid w:val="00112E2E"/>
    <w:rsid w:val="001131BA"/>
    <w:rsid w:val="00113380"/>
    <w:rsid w:val="0011422C"/>
    <w:rsid w:val="00116136"/>
    <w:rsid w:val="0012111B"/>
    <w:rsid w:val="0012391C"/>
    <w:rsid w:val="00123F59"/>
    <w:rsid w:val="00124FB2"/>
    <w:rsid w:val="00126B7C"/>
    <w:rsid w:val="0012710F"/>
    <w:rsid w:val="00132F9D"/>
    <w:rsid w:val="00134FAD"/>
    <w:rsid w:val="001362C7"/>
    <w:rsid w:val="00140AE2"/>
    <w:rsid w:val="00141DC7"/>
    <w:rsid w:val="00141E1E"/>
    <w:rsid w:val="00142817"/>
    <w:rsid w:val="0014422F"/>
    <w:rsid w:val="00145315"/>
    <w:rsid w:val="00145DE7"/>
    <w:rsid w:val="00146C3F"/>
    <w:rsid w:val="001505DE"/>
    <w:rsid w:val="00150636"/>
    <w:rsid w:val="00150B2A"/>
    <w:rsid w:val="00152E8F"/>
    <w:rsid w:val="00152F3F"/>
    <w:rsid w:val="00153066"/>
    <w:rsid w:val="00153CF3"/>
    <w:rsid w:val="00154120"/>
    <w:rsid w:val="00154149"/>
    <w:rsid w:val="0015538D"/>
    <w:rsid w:val="001559B7"/>
    <w:rsid w:val="00156EFD"/>
    <w:rsid w:val="00157E9F"/>
    <w:rsid w:val="00160642"/>
    <w:rsid w:val="00161781"/>
    <w:rsid w:val="0016196D"/>
    <w:rsid w:val="00161ED1"/>
    <w:rsid w:val="001621A8"/>
    <w:rsid w:val="0016383E"/>
    <w:rsid w:val="00163882"/>
    <w:rsid w:val="001649C1"/>
    <w:rsid w:val="001650F2"/>
    <w:rsid w:val="00165B1D"/>
    <w:rsid w:val="00167173"/>
    <w:rsid w:val="001718B5"/>
    <w:rsid w:val="00171ABF"/>
    <w:rsid w:val="00172080"/>
    <w:rsid w:val="001726A9"/>
    <w:rsid w:val="00172726"/>
    <w:rsid w:val="00172F04"/>
    <w:rsid w:val="00175AC8"/>
    <w:rsid w:val="00175F6C"/>
    <w:rsid w:val="001778D0"/>
    <w:rsid w:val="00177C22"/>
    <w:rsid w:val="0018279E"/>
    <w:rsid w:val="0018323F"/>
    <w:rsid w:val="00185906"/>
    <w:rsid w:val="00186342"/>
    <w:rsid w:val="001868C6"/>
    <w:rsid w:val="00186950"/>
    <w:rsid w:val="0018796D"/>
    <w:rsid w:val="00190296"/>
    <w:rsid w:val="00190A78"/>
    <w:rsid w:val="00191D87"/>
    <w:rsid w:val="00192D2D"/>
    <w:rsid w:val="001933EA"/>
    <w:rsid w:val="001960CC"/>
    <w:rsid w:val="0019690B"/>
    <w:rsid w:val="0019780A"/>
    <w:rsid w:val="001A324B"/>
    <w:rsid w:val="001A40BD"/>
    <w:rsid w:val="001A57AA"/>
    <w:rsid w:val="001B093C"/>
    <w:rsid w:val="001B1248"/>
    <w:rsid w:val="001B1CCB"/>
    <w:rsid w:val="001B2028"/>
    <w:rsid w:val="001B3A5A"/>
    <w:rsid w:val="001B3B2E"/>
    <w:rsid w:val="001B45D4"/>
    <w:rsid w:val="001C0988"/>
    <w:rsid w:val="001C107B"/>
    <w:rsid w:val="001C356E"/>
    <w:rsid w:val="001C412B"/>
    <w:rsid w:val="001C49E7"/>
    <w:rsid w:val="001C4EB5"/>
    <w:rsid w:val="001C6E97"/>
    <w:rsid w:val="001C7EDF"/>
    <w:rsid w:val="001D00A6"/>
    <w:rsid w:val="001D0525"/>
    <w:rsid w:val="001D18DF"/>
    <w:rsid w:val="001D216E"/>
    <w:rsid w:val="001D24BB"/>
    <w:rsid w:val="001D2A30"/>
    <w:rsid w:val="001D2C8C"/>
    <w:rsid w:val="001D32C1"/>
    <w:rsid w:val="001D3587"/>
    <w:rsid w:val="001D4C84"/>
    <w:rsid w:val="001D66D9"/>
    <w:rsid w:val="001E407C"/>
    <w:rsid w:val="001E4108"/>
    <w:rsid w:val="001E41C9"/>
    <w:rsid w:val="001E7607"/>
    <w:rsid w:val="001F2200"/>
    <w:rsid w:val="001F2F73"/>
    <w:rsid w:val="001F35F5"/>
    <w:rsid w:val="001F65AA"/>
    <w:rsid w:val="001F69B4"/>
    <w:rsid w:val="001F6DB7"/>
    <w:rsid w:val="001F6FDA"/>
    <w:rsid w:val="001F737F"/>
    <w:rsid w:val="001F7E1D"/>
    <w:rsid w:val="0020031A"/>
    <w:rsid w:val="00200B3A"/>
    <w:rsid w:val="00200BAC"/>
    <w:rsid w:val="00202A0D"/>
    <w:rsid w:val="00203787"/>
    <w:rsid w:val="00203F2F"/>
    <w:rsid w:val="002044A2"/>
    <w:rsid w:val="00204A75"/>
    <w:rsid w:val="00205096"/>
    <w:rsid w:val="00205D7B"/>
    <w:rsid w:val="00205FF3"/>
    <w:rsid w:val="002100D0"/>
    <w:rsid w:val="002110B8"/>
    <w:rsid w:val="002119B4"/>
    <w:rsid w:val="00211BD9"/>
    <w:rsid w:val="00213E59"/>
    <w:rsid w:val="002161CD"/>
    <w:rsid w:val="00217B5A"/>
    <w:rsid w:val="0022046D"/>
    <w:rsid w:val="00220E63"/>
    <w:rsid w:val="002219E7"/>
    <w:rsid w:val="002225CC"/>
    <w:rsid w:val="00223264"/>
    <w:rsid w:val="002255E3"/>
    <w:rsid w:val="0022783B"/>
    <w:rsid w:val="0023223B"/>
    <w:rsid w:val="002342C7"/>
    <w:rsid w:val="00236567"/>
    <w:rsid w:val="00237278"/>
    <w:rsid w:val="00237A64"/>
    <w:rsid w:val="00240334"/>
    <w:rsid w:val="00240A50"/>
    <w:rsid w:val="0024504B"/>
    <w:rsid w:val="00253138"/>
    <w:rsid w:val="002537FB"/>
    <w:rsid w:val="0025581B"/>
    <w:rsid w:val="00255E7A"/>
    <w:rsid w:val="00256978"/>
    <w:rsid w:val="00257CEB"/>
    <w:rsid w:val="00257DEF"/>
    <w:rsid w:val="00260182"/>
    <w:rsid w:val="00260388"/>
    <w:rsid w:val="00261F9A"/>
    <w:rsid w:val="0026238C"/>
    <w:rsid w:val="00264660"/>
    <w:rsid w:val="002647AE"/>
    <w:rsid w:val="00264A8E"/>
    <w:rsid w:val="00265326"/>
    <w:rsid w:val="00266710"/>
    <w:rsid w:val="002669ED"/>
    <w:rsid w:val="00267014"/>
    <w:rsid w:val="00270CA8"/>
    <w:rsid w:val="00271D68"/>
    <w:rsid w:val="00272718"/>
    <w:rsid w:val="00272E6C"/>
    <w:rsid w:val="0027422E"/>
    <w:rsid w:val="00274372"/>
    <w:rsid w:val="00275363"/>
    <w:rsid w:val="00276494"/>
    <w:rsid w:val="002777FB"/>
    <w:rsid w:val="00280205"/>
    <w:rsid w:val="0028432E"/>
    <w:rsid w:val="002850A9"/>
    <w:rsid w:val="00286D65"/>
    <w:rsid w:val="0028729D"/>
    <w:rsid w:val="00290024"/>
    <w:rsid w:val="0029076B"/>
    <w:rsid w:val="00290F5C"/>
    <w:rsid w:val="00291C03"/>
    <w:rsid w:val="00291DE6"/>
    <w:rsid w:val="00292684"/>
    <w:rsid w:val="00292C4B"/>
    <w:rsid w:val="0029364F"/>
    <w:rsid w:val="002969DF"/>
    <w:rsid w:val="002A07BE"/>
    <w:rsid w:val="002A3779"/>
    <w:rsid w:val="002A3A67"/>
    <w:rsid w:val="002A43D3"/>
    <w:rsid w:val="002A5010"/>
    <w:rsid w:val="002A6019"/>
    <w:rsid w:val="002A6410"/>
    <w:rsid w:val="002B090E"/>
    <w:rsid w:val="002B09AB"/>
    <w:rsid w:val="002B1CB4"/>
    <w:rsid w:val="002B30DB"/>
    <w:rsid w:val="002C05A0"/>
    <w:rsid w:val="002C05DB"/>
    <w:rsid w:val="002C0652"/>
    <w:rsid w:val="002C0ED7"/>
    <w:rsid w:val="002C2027"/>
    <w:rsid w:val="002C3274"/>
    <w:rsid w:val="002C337D"/>
    <w:rsid w:val="002C42DE"/>
    <w:rsid w:val="002C58C5"/>
    <w:rsid w:val="002C6A08"/>
    <w:rsid w:val="002C7227"/>
    <w:rsid w:val="002C76DD"/>
    <w:rsid w:val="002C7A99"/>
    <w:rsid w:val="002C7B14"/>
    <w:rsid w:val="002D4B08"/>
    <w:rsid w:val="002D719B"/>
    <w:rsid w:val="002D7763"/>
    <w:rsid w:val="002E0518"/>
    <w:rsid w:val="002E3A84"/>
    <w:rsid w:val="002E614C"/>
    <w:rsid w:val="002E6731"/>
    <w:rsid w:val="002E694D"/>
    <w:rsid w:val="002F0257"/>
    <w:rsid w:val="002F4757"/>
    <w:rsid w:val="002F4E54"/>
    <w:rsid w:val="002F573D"/>
    <w:rsid w:val="002F583E"/>
    <w:rsid w:val="002F6AB0"/>
    <w:rsid w:val="002F706A"/>
    <w:rsid w:val="002F7B7C"/>
    <w:rsid w:val="00300A80"/>
    <w:rsid w:val="00303169"/>
    <w:rsid w:val="003039F9"/>
    <w:rsid w:val="00305923"/>
    <w:rsid w:val="00306B23"/>
    <w:rsid w:val="00311785"/>
    <w:rsid w:val="003139DD"/>
    <w:rsid w:val="003149E4"/>
    <w:rsid w:val="003157CE"/>
    <w:rsid w:val="00317A3E"/>
    <w:rsid w:val="00320E72"/>
    <w:rsid w:val="00321DA6"/>
    <w:rsid w:val="00322216"/>
    <w:rsid w:val="00322E4C"/>
    <w:rsid w:val="003239A0"/>
    <w:rsid w:val="00323E90"/>
    <w:rsid w:val="00323EC7"/>
    <w:rsid w:val="003242D6"/>
    <w:rsid w:val="003249E8"/>
    <w:rsid w:val="00324B9E"/>
    <w:rsid w:val="00324DA5"/>
    <w:rsid w:val="00326F5D"/>
    <w:rsid w:val="00330F21"/>
    <w:rsid w:val="00331342"/>
    <w:rsid w:val="00331449"/>
    <w:rsid w:val="003314B8"/>
    <w:rsid w:val="00332004"/>
    <w:rsid w:val="003321A7"/>
    <w:rsid w:val="00332C88"/>
    <w:rsid w:val="00333DA3"/>
    <w:rsid w:val="0033406B"/>
    <w:rsid w:val="0033463C"/>
    <w:rsid w:val="0033582F"/>
    <w:rsid w:val="00335855"/>
    <w:rsid w:val="00335991"/>
    <w:rsid w:val="00337A0A"/>
    <w:rsid w:val="00340929"/>
    <w:rsid w:val="00341144"/>
    <w:rsid w:val="003428F7"/>
    <w:rsid w:val="003430D7"/>
    <w:rsid w:val="00343C17"/>
    <w:rsid w:val="0034518F"/>
    <w:rsid w:val="003479E9"/>
    <w:rsid w:val="00350E10"/>
    <w:rsid w:val="00352AF2"/>
    <w:rsid w:val="00354035"/>
    <w:rsid w:val="003577B3"/>
    <w:rsid w:val="00357A7D"/>
    <w:rsid w:val="00357F61"/>
    <w:rsid w:val="00363164"/>
    <w:rsid w:val="0036407A"/>
    <w:rsid w:val="00364FEE"/>
    <w:rsid w:val="00365033"/>
    <w:rsid w:val="00366E6A"/>
    <w:rsid w:val="0036704F"/>
    <w:rsid w:val="0037096F"/>
    <w:rsid w:val="00371832"/>
    <w:rsid w:val="00372B43"/>
    <w:rsid w:val="0037378C"/>
    <w:rsid w:val="00373C22"/>
    <w:rsid w:val="00375A81"/>
    <w:rsid w:val="003761FE"/>
    <w:rsid w:val="00380CD5"/>
    <w:rsid w:val="00381DB2"/>
    <w:rsid w:val="00382227"/>
    <w:rsid w:val="00382251"/>
    <w:rsid w:val="0038233B"/>
    <w:rsid w:val="00383E27"/>
    <w:rsid w:val="00385257"/>
    <w:rsid w:val="003854D5"/>
    <w:rsid w:val="0038573F"/>
    <w:rsid w:val="00386011"/>
    <w:rsid w:val="00386A93"/>
    <w:rsid w:val="0038727F"/>
    <w:rsid w:val="003878F7"/>
    <w:rsid w:val="00390374"/>
    <w:rsid w:val="00390461"/>
    <w:rsid w:val="00390822"/>
    <w:rsid w:val="003923B9"/>
    <w:rsid w:val="003961DA"/>
    <w:rsid w:val="00397279"/>
    <w:rsid w:val="003A1BAF"/>
    <w:rsid w:val="003A276E"/>
    <w:rsid w:val="003A2BF3"/>
    <w:rsid w:val="003A312C"/>
    <w:rsid w:val="003A34D3"/>
    <w:rsid w:val="003A46A3"/>
    <w:rsid w:val="003A47AA"/>
    <w:rsid w:val="003B1145"/>
    <w:rsid w:val="003B206F"/>
    <w:rsid w:val="003B29D6"/>
    <w:rsid w:val="003B2E3A"/>
    <w:rsid w:val="003B562B"/>
    <w:rsid w:val="003B5B76"/>
    <w:rsid w:val="003B704F"/>
    <w:rsid w:val="003C0AD6"/>
    <w:rsid w:val="003C0D71"/>
    <w:rsid w:val="003C20EB"/>
    <w:rsid w:val="003C3151"/>
    <w:rsid w:val="003C5283"/>
    <w:rsid w:val="003C52B6"/>
    <w:rsid w:val="003C59E0"/>
    <w:rsid w:val="003C5C1A"/>
    <w:rsid w:val="003D0B78"/>
    <w:rsid w:val="003D1EAC"/>
    <w:rsid w:val="003D2128"/>
    <w:rsid w:val="003D2C50"/>
    <w:rsid w:val="003D34F2"/>
    <w:rsid w:val="003D3AB5"/>
    <w:rsid w:val="003D3ED4"/>
    <w:rsid w:val="003D4CEF"/>
    <w:rsid w:val="003D5918"/>
    <w:rsid w:val="003D5C57"/>
    <w:rsid w:val="003D608E"/>
    <w:rsid w:val="003D7D39"/>
    <w:rsid w:val="003E019A"/>
    <w:rsid w:val="003E1D9D"/>
    <w:rsid w:val="003E24EB"/>
    <w:rsid w:val="003E2C3F"/>
    <w:rsid w:val="003E6A00"/>
    <w:rsid w:val="003E6D43"/>
    <w:rsid w:val="003E7F65"/>
    <w:rsid w:val="003F24F5"/>
    <w:rsid w:val="003F2ABF"/>
    <w:rsid w:val="003F7392"/>
    <w:rsid w:val="003F7560"/>
    <w:rsid w:val="004016E9"/>
    <w:rsid w:val="00401A8D"/>
    <w:rsid w:val="004021F5"/>
    <w:rsid w:val="0040386C"/>
    <w:rsid w:val="00405FB4"/>
    <w:rsid w:val="00406E36"/>
    <w:rsid w:val="004125EA"/>
    <w:rsid w:val="00412BCF"/>
    <w:rsid w:val="004151C5"/>
    <w:rsid w:val="00421369"/>
    <w:rsid w:val="00421EDF"/>
    <w:rsid w:val="00422F46"/>
    <w:rsid w:val="00424653"/>
    <w:rsid w:val="0042689A"/>
    <w:rsid w:val="00426EF7"/>
    <w:rsid w:val="00431320"/>
    <w:rsid w:val="0043303D"/>
    <w:rsid w:val="0043343F"/>
    <w:rsid w:val="00433C26"/>
    <w:rsid w:val="00433D49"/>
    <w:rsid w:val="00433D7C"/>
    <w:rsid w:val="00434B6A"/>
    <w:rsid w:val="004356DC"/>
    <w:rsid w:val="004363B4"/>
    <w:rsid w:val="004406D7"/>
    <w:rsid w:val="00440946"/>
    <w:rsid w:val="00440D76"/>
    <w:rsid w:val="00443E12"/>
    <w:rsid w:val="00445263"/>
    <w:rsid w:val="00446166"/>
    <w:rsid w:val="0044699D"/>
    <w:rsid w:val="00446DEC"/>
    <w:rsid w:val="00447584"/>
    <w:rsid w:val="0044778B"/>
    <w:rsid w:val="004504DA"/>
    <w:rsid w:val="00453070"/>
    <w:rsid w:val="00453786"/>
    <w:rsid w:val="004555BF"/>
    <w:rsid w:val="00456552"/>
    <w:rsid w:val="00456BFD"/>
    <w:rsid w:val="00456C7A"/>
    <w:rsid w:val="0046071D"/>
    <w:rsid w:val="0046185A"/>
    <w:rsid w:val="0046208B"/>
    <w:rsid w:val="0046275D"/>
    <w:rsid w:val="004631D6"/>
    <w:rsid w:val="00466438"/>
    <w:rsid w:val="00467382"/>
    <w:rsid w:val="00467D1A"/>
    <w:rsid w:val="00470A85"/>
    <w:rsid w:val="00471588"/>
    <w:rsid w:val="00473E3F"/>
    <w:rsid w:val="004740A0"/>
    <w:rsid w:val="00475696"/>
    <w:rsid w:val="00476C85"/>
    <w:rsid w:val="00480BE7"/>
    <w:rsid w:val="00480C91"/>
    <w:rsid w:val="00483700"/>
    <w:rsid w:val="00487C98"/>
    <w:rsid w:val="004906A4"/>
    <w:rsid w:val="0049197F"/>
    <w:rsid w:val="0049246C"/>
    <w:rsid w:val="00494AAC"/>
    <w:rsid w:val="004A03BC"/>
    <w:rsid w:val="004A11BD"/>
    <w:rsid w:val="004A1BC0"/>
    <w:rsid w:val="004A262B"/>
    <w:rsid w:val="004A2658"/>
    <w:rsid w:val="004A2D7E"/>
    <w:rsid w:val="004A4184"/>
    <w:rsid w:val="004A585F"/>
    <w:rsid w:val="004A719D"/>
    <w:rsid w:val="004B0372"/>
    <w:rsid w:val="004B5233"/>
    <w:rsid w:val="004B7F78"/>
    <w:rsid w:val="004C0D1E"/>
    <w:rsid w:val="004C1C4D"/>
    <w:rsid w:val="004C4A0F"/>
    <w:rsid w:val="004C504A"/>
    <w:rsid w:val="004D17F0"/>
    <w:rsid w:val="004D2074"/>
    <w:rsid w:val="004D283E"/>
    <w:rsid w:val="004D2AA0"/>
    <w:rsid w:val="004D2F9E"/>
    <w:rsid w:val="004D30B4"/>
    <w:rsid w:val="004D3260"/>
    <w:rsid w:val="004D4111"/>
    <w:rsid w:val="004D5E52"/>
    <w:rsid w:val="004D5E8E"/>
    <w:rsid w:val="004D60C1"/>
    <w:rsid w:val="004D79DA"/>
    <w:rsid w:val="004D7EAF"/>
    <w:rsid w:val="004E058B"/>
    <w:rsid w:val="004E1C3C"/>
    <w:rsid w:val="004E400C"/>
    <w:rsid w:val="004E4AE1"/>
    <w:rsid w:val="004E513A"/>
    <w:rsid w:val="004E5211"/>
    <w:rsid w:val="004E52A4"/>
    <w:rsid w:val="004E5FB0"/>
    <w:rsid w:val="004F06AD"/>
    <w:rsid w:val="004F1BF3"/>
    <w:rsid w:val="004F4189"/>
    <w:rsid w:val="004F54FC"/>
    <w:rsid w:val="004F6A45"/>
    <w:rsid w:val="004F6E79"/>
    <w:rsid w:val="004F7C1B"/>
    <w:rsid w:val="005008C7"/>
    <w:rsid w:val="005010A0"/>
    <w:rsid w:val="0050112D"/>
    <w:rsid w:val="005031C1"/>
    <w:rsid w:val="005055AE"/>
    <w:rsid w:val="00505C47"/>
    <w:rsid w:val="00507EDF"/>
    <w:rsid w:val="00510414"/>
    <w:rsid w:val="00510A01"/>
    <w:rsid w:val="00513E0F"/>
    <w:rsid w:val="00513FED"/>
    <w:rsid w:val="00513FF5"/>
    <w:rsid w:val="00516116"/>
    <w:rsid w:val="0051624E"/>
    <w:rsid w:val="00516CCF"/>
    <w:rsid w:val="00520436"/>
    <w:rsid w:val="005209BF"/>
    <w:rsid w:val="00521707"/>
    <w:rsid w:val="005300BE"/>
    <w:rsid w:val="005300D0"/>
    <w:rsid w:val="0053262F"/>
    <w:rsid w:val="00534C81"/>
    <w:rsid w:val="005366AB"/>
    <w:rsid w:val="00536790"/>
    <w:rsid w:val="00536A4B"/>
    <w:rsid w:val="00537C6D"/>
    <w:rsid w:val="005416A6"/>
    <w:rsid w:val="00542ED1"/>
    <w:rsid w:val="00544671"/>
    <w:rsid w:val="005466C6"/>
    <w:rsid w:val="00546EF4"/>
    <w:rsid w:val="00547AF8"/>
    <w:rsid w:val="0055154E"/>
    <w:rsid w:val="005536CA"/>
    <w:rsid w:val="00553C16"/>
    <w:rsid w:val="005555DA"/>
    <w:rsid w:val="005564D0"/>
    <w:rsid w:val="00557B55"/>
    <w:rsid w:val="005602DB"/>
    <w:rsid w:val="0056236A"/>
    <w:rsid w:val="0056315E"/>
    <w:rsid w:val="00564311"/>
    <w:rsid w:val="0056431B"/>
    <w:rsid w:val="00567995"/>
    <w:rsid w:val="00570F60"/>
    <w:rsid w:val="00572350"/>
    <w:rsid w:val="00572C49"/>
    <w:rsid w:val="00574313"/>
    <w:rsid w:val="00574F22"/>
    <w:rsid w:val="00574FA0"/>
    <w:rsid w:val="0057581D"/>
    <w:rsid w:val="00575BAB"/>
    <w:rsid w:val="005768EE"/>
    <w:rsid w:val="00577A49"/>
    <w:rsid w:val="005800C5"/>
    <w:rsid w:val="00580CD1"/>
    <w:rsid w:val="005816C8"/>
    <w:rsid w:val="0058267C"/>
    <w:rsid w:val="00583FCD"/>
    <w:rsid w:val="00584037"/>
    <w:rsid w:val="00585D89"/>
    <w:rsid w:val="00586F79"/>
    <w:rsid w:val="0059078E"/>
    <w:rsid w:val="00590AF7"/>
    <w:rsid w:val="00590B16"/>
    <w:rsid w:val="00591731"/>
    <w:rsid w:val="00591DE9"/>
    <w:rsid w:val="00593BE5"/>
    <w:rsid w:val="00594AD1"/>
    <w:rsid w:val="00595DC6"/>
    <w:rsid w:val="00596104"/>
    <w:rsid w:val="005A2469"/>
    <w:rsid w:val="005A3A2B"/>
    <w:rsid w:val="005A460E"/>
    <w:rsid w:val="005A4745"/>
    <w:rsid w:val="005A4BD7"/>
    <w:rsid w:val="005A5CC0"/>
    <w:rsid w:val="005A798F"/>
    <w:rsid w:val="005B298F"/>
    <w:rsid w:val="005B2BF2"/>
    <w:rsid w:val="005B2EB5"/>
    <w:rsid w:val="005B2FB0"/>
    <w:rsid w:val="005B517C"/>
    <w:rsid w:val="005B6F5A"/>
    <w:rsid w:val="005C2D87"/>
    <w:rsid w:val="005C3084"/>
    <w:rsid w:val="005C3259"/>
    <w:rsid w:val="005C4024"/>
    <w:rsid w:val="005C7701"/>
    <w:rsid w:val="005D1D46"/>
    <w:rsid w:val="005D1D54"/>
    <w:rsid w:val="005D2063"/>
    <w:rsid w:val="005D2DE3"/>
    <w:rsid w:val="005D30BA"/>
    <w:rsid w:val="005D46A6"/>
    <w:rsid w:val="005D5778"/>
    <w:rsid w:val="005D5C6D"/>
    <w:rsid w:val="005D5E1F"/>
    <w:rsid w:val="005D5EB1"/>
    <w:rsid w:val="005D6BA7"/>
    <w:rsid w:val="005D7E94"/>
    <w:rsid w:val="005E0338"/>
    <w:rsid w:val="005E2E3C"/>
    <w:rsid w:val="005E3C55"/>
    <w:rsid w:val="005E4146"/>
    <w:rsid w:val="005E5553"/>
    <w:rsid w:val="005E5A3D"/>
    <w:rsid w:val="005E5A86"/>
    <w:rsid w:val="005E6076"/>
    <w:rsid w:val="005E6A41"/>
    <w:rsid w:val="005E7777"/>
    <w:rsid w:val="005F00FE"/>
    <w:rsid w:val="005F2C40"/>
    <w:rsid w:val="005F444C"/>
    <w:rsid w:val="005F6480"/>
    <w:rsid w:val="005F747A"/>
    <w:rsid w:val="0060105A"/>
    <w:rsid w:val="00604607"/>
    <w:rsid w:val="006053F8"/>
    <w:rsid w:val="00607BFC"/>
    <w:rsid w:val="00611587"/>
    <w:rsid w:val="0061196F"/>
    <w:rsid w:val="006161F5"/>
    <w:rsid w:val="00616374"/>
    <w:rsid w:val="006166B3"/>
    <w:rsid w:val="00622A1C"/>
    <w:rsid w:val="00622FAB"/>
    <w:rsid w:val="006240BD"/>
    <w:rsid w:val="00624131"/>
    <w:rsid w:val="0062558C"/>
    <w:rsid w:val="00625775"/>
    <w:rsid w:val="00626B48"/>
    <w:rsid w:val="00631262"/>
    <w:rsid w:val="00632758"/>
    <w:rsid w:val="00632C62"/>
    <w:rsid w:val="00633680"/>
    <w:rsid w:val="00633B6F"/>
    <w:rsid w:val="00634136"/>
    <w:rsid w:val="006343AB"/>
    <w:rsid w:val="006368E0"/>
    <w:rsid w:val="00640157"/>
    <w:rsid w:val="0064171C"/>
    <w:rsid w:val="00650216"/>
    <w:rsid w:val="006517D7"/>
    <w:rsid w:val="0065285A"/>
    <w:rsid w:val="00652E08"/>
    <w:rsid w:val="00653D4E"/>
    <w:rsid w:val="00654FA3"/>
    <w:rsid w:val="006550AE"/>
    <w:rsid w:val="006562C3"/>
    <w:rsid w:val="006566D5"/>
    <w:rsid w:val="00657019"/>
    <w:rsid w:val="00660033"/>
    <w:rsid w:val="00660BFF"/>
    <w:rsid w:val="00664195"/>
    <w:rsid w:val="00664221"/>
    <w:rsid w:val="006661CB"/>
    <w:rsid w:val="006667B6"/>
    <w:rsid w:val="00666FC1"/>
    <w:rsid w:val="00667EAB"/>
    <w:rsid w:val="00670959"/>
    <w:rsid w:val="00671250"/>
    <w:rsid w:val="00675562"/>
    <w:rsid w:val="006755CA"/>
    <w:rsid w:val="00675F65"/>
    <w:rsid w:val="00676279"/>
    <w:rsid w:val="0068000B"/>
    <w:rsid w:val="0068157C"/>
    <w:rsid w:val="006821B7"/>
    <w:rsid w:val="006822B9"/>
    <w:rsid w:val="006831D0"/>
    <w:rsid w:val="0068352E"/>
    <w:rsid w:val="006847D7"/>
    <w:rsid w:val="0068578C"/>
    <w:rsid w:val="00686AC0"/>
    <w:rsid w:val="00687835"/>
    <w:rsid w:val="00687B84"/>
    <w:rsid w:val="00690964"/>
    <w:rsid w:val="006927DD"/>
    <w:rsid w:val="00693B3A"/>
    <w:rsid w:val="0069498E"/>
    <w:rsid w:val="00694EDD"/>
    <w:rsid w:val="0069518B"/>
    <w:rsid w:val="00695EA9"/>
    <w:rsid w:val="006961E1"/>
    <w:rsid w:val="006971CD"/>
    <w:rsid w:val="006A1280"/>
    <w:rsid w:val="006A1B71"/>
    <w:rsid w:val="006A2736"/>
    <w:rsid w:val="006A36D7"/>
    <w:rsid w:val="006A437B"/>
    <w:rsid w:val="006A5427"/>
    <w:rsid w:val="006A704B"/>
    <w:rsid w:val="006A7A72"/>
    <w:rsid w:val="006B0561"/>
    <w:rsid w:val="006B0D0E"/>
    <w:rsid w:val="006B1DB5"/>
    <w:rsid w:val="006B300D"/>
    <w:rsid w:val="006B4215"/>
    <w:rsid w:val="006B4675"/>
    <w:rsid w:val="006B4D95"/>
    <w:rsid w:val="006B5112"/>
    <w:rsid w:val="006B592A"/>
    <w:rsid w:val="006B626C"/>
    <w:rsid w:val="006B74B9"/>
    <w:rsid w:val="006C07B3"/>
    <w:rsid w:val="006C133B"/>
    <w:rsid w:val="006C1E5A"/>
    <w:rsid w:val="006C23C7"/>
    <w:rsid w:val="006C2E3D"/>
    <w:rsid w:val="006C7321"/>
    <w:rsid w:val="006C7812"/>
    <w:rsid w:val="006C7E08"/>
    <w:rsid w:val="006C7E9C"/>
    <w:rsid w:val="006D22E9"/>
    <w:rsid w:val="006D232A"/>
    <w:rsid w:val="006D45C5"/>
    <w:rsid w:val="006D4965"/>
    <w:rsid w:val="006D59DF"/>
    <w:rsid w:val="006D63A1"/>
    <w:rsid w:val="006D67E7"/>
    <w:rsid w:val="006D78FA"/>
    <w:rsid w:val="006E0703"/>
    <w:rsid w:val="006E0E8A"/>
    <w:rsid w:val="006E1160"/>
    <w:rsid w:val="006E25B0"/>
    <w:rsid w:val="006E31E1"/>
    <w:rsid w:val="006E34BA"/>
    <w:rsid w:val="006E4813"/>
    <w:rsid w:val="006E5151"/>
    <w:rsid w:val="006E553C"/>
    <w:rsid w:val="006E6E74"/>
    <w:rsid w:val="006E7E71"/>
    <w:rsid w:val="006F04BA"/>
    <w:rsid w:val="006F2E76"/>
    <w:rsid w:val="006F7ADD"/>
    <w:rsid w:val="00701F36"/>
    <w:rsid w:val="0070302F"/>
    <w:rsid w:val="00705235"/>
    <w:rsid w:val="00705298"/>
    <w:rsid w:val="00706A45"/>
    <w:rsid w:val="00707645"/>
    <w:rsid w:val="00710F2B"/>
    <w:rsid w:val="00714778"/>
    <w:rsid w:val="0071525E"/>
    <w:rsid w:val="00715991"/>
    <w:rsid w:val="00716154"/>
    <w:rsid w:val="00716C6F"/>
    <w:rsid w:val="00717755"/>
    <w:rsid w:val="0072149C"/>
    <w:rsid w:val="0072163D"/>
    <w:rsid w:val="00721825"/>
    <w:rsid w:val="00722FC6"/>
    <w:rsid w:val="00725D0D"/>
    <w:rsid w:val="00725DEF"/>
    <w:rsid w:val="00726509"/>
    <w:rsid w:val="00726B4F"/>
    <w:rsid w:val="00727011"/>
    <w:rsid w:val="00730525"/>
    <w:rsid w:val="0073187E"/>
    <w:rsid w:val="007333DC"/>
    <w:rsid w:val="007344D9"/>
    <w:rsid w:val="00735987"/>
    <w:rsid w:val="00742A17"/>
    <w:rsid w:val="00742BC1"/>
    <w:rsid w:val="00742EBE"/>
    <w:rsid w:val="0074349D"/>
    <w:rsid w:val="00743739"/>
    <w:rsid w:val="007439B2"/>
    <w:rsid w:val="00743D43"/>
    <w:rsid w:val="00743EFE"/>
    <w:rsid w:val="0074565A"/>
    <w:rsid w:val="007500C7"/>
    <w:rsid w:val="0075084B"/>
    <w:rsid w:val="007544EA"/>
    <w:rsid w:val="007572A6"/>
    <w:rsid w:val="007601A0"/>
    <w:rsid w:val="007604CC"/>
    <w:rsid w:val="00760935"/>
    <w:rsid w:val="0076223E"/>
    <w:rsid w:val="0076239F"/>
    <w:rsid w:val="00763212"/>
    <w:rsid w:val="00764277"/>
    <w:rsid w:val="00765953"/>
    <w:rsid w:val="00766336"/>
    <w:rsid w:val="00767139"/>
    <w:rsid w:val="0076741D"/>
    <w:rsid w:val="00770E57"/>
    <w:rsid w:val="00771B41"/>
    <w:rsid w:val="007723AA"/>
    <w:rsid w:val="00772FFD"/>
    <w:rsid w:val="0078404E"/>
    <w:rsid w:val="00785FB4"/>
    <w:rsid w:val="00786FF0"/>
    <w:rsid w:val="00787E29"/>
    <w:rsid w:val="00791280"/>
    <w:rsid w:val="00797020"/>
    <w:rsid w:val="00797D0C"/>
    <w:rsid w:val="007A17B7"/>
    <w:rsid w:val="007A17BC"/>
    <w:rsid w:val="007A2EDA"/>
    <w:rsid w:val="007A31E3"/>
    <w:rsid w:val="007A4564"/>
    <w:rsid w:val="007A548F"/>
    <w:rsid w:val="007A60E4"/>
    <w:rsid w:val="007A6319"/>
    <w:rsid w:val="007A6F42"/>
    <w:rsid w:val="007A75D5"/>
    <w:rsid w:val="007A7951"/>
    <w:rsid w:val="007A79DA"/>
    <w:rsid w:val="007B0789"/>
    <w:rsid w:val="007B0F89"/>
    <w:rsid w:val="007B1600"/>
    <w:rsid w:val="007B1CC5"/>
    <w:rsid w:val="007B2839"/>
    <w:rsid w:val="007B28CB"/>
    <w:rsid w:val="007B484F"/>
    <w:rsid w:val="007B61B4"/>
    <w:rsid w:val="007B6595"/>
    <w:rsid w:val="007B6D8C"/>
    <w:rsid w:val="007B7333"/>
    <w:rsid w:val="007B7436"/>
    <w:rsid w:val="007C1CAB"/>
    <w:rsid w:val="007C26B7"/>
    <w:rsid w:val="007C34DD"/>
    <w:rsid w:val="007C5053"/>
    <w:rsid w:val="007C523F"/>
    <w:rsid w:val="007C5F3A"/>
    <w:rsid w:val="007C733F"/>
    <w:rsid w:val="007C7A4A"/>
    <w:rsid w:val="007D0305"/>
    <w:rsid w:val="007D0A1C"/>
    <w:rsid w:val="007D1640"/>
    <w:rsid w:val="007D2419"/>
    <w:rsid w:val="007D29AA"/>
    <w:rsid w:val="007D37CF"/>
    <w:rsid w:val="007D5328"/>
    <w:rsid w:val="007D638D"/>
    <w:rsid w:val="007D6C07"/>
    <w:rsid w:val="007D79B5"/>
    <w:rsid w:val="007E2BCA"/>
    <w:rsid w:val="007E35EE"/>
    <w:rsid w:val="007E380B"/>
    <w:rsid w:val="007E3AB9"/>
    <w:rsid w:val="007E3FB8"/>
    <w:rsid w:val="007E4B55"/>
    <w:rsid w:val="007E5D47"/>
    <w:rsid w:val="007E71AF"/>
    <w:rsid w:val="007F1A34"/>
    <w:rsid w:val="007F1FC7"/>
    <w:rsid w:val="007F23D3"/>
    <w:rsid w:val="007F3C8B"/>
    <w:rsid w:val="007F723B"/>
    <w:rsid w:val="007F7465"/>
    <w:rsid w:val="007F7A04"/>
    <w:rsid w:val="007F7CE1"/>
    <w:rsid w:val="0080052E"/>
    <w:rsid w:val="00801076"/>
    <w:rsid w:val="00801234"/>
    <w:rsid w:val="008013AD"/>
    <w:rsid w:val="00801C5B"/>
    <w:rsid w:val="00802C92"/>
    <w:rsid w:val="00803EE7"/>
    <w:rsid w:val="008068A5"/>
    <w:rsid w:val="0080781C"/>
    <w:rsid w:val="0081002F"/>
    <w:rsid w:val="00811433"/>
    <w:rsid w:val="00812ECA"/>
    <w:rsid w:val="00813040"/>
    <w:rsid w:val="008135E3"/>
    <w:rsid w:val="00813D4B"/>
    <w:rsid w:val="00814451"/>
    <w:rsid w:val="008225A8"/>
    <w:rsid w:val="00824549"/>
    <w:rsid w:val="00827B9A"/>
    <w:rsid w:val="0083077F"/>
    <w:rsid w:val="00831920"/>
    <w:rsid w:val="008338DC"/>
    <w:rsid w:val="00834297"/>
    <w:rsid w:val="00834616"/>
    <w:rsid w:val="008359D7"/>
    <w:rsid w:val="008365E5"/>
    <w:rsid w:val="00836E4F"/>
    <w:rsid w:val="00837087"/>
    <w:rsid w:val="008371D4"/>
    <w:rsid w:val="008403B3"/>
    <w:rsid w:val="00841056"/>
    <w:rsid w:val="00842184"/>
    <w:rsid w:val="008429AE"/>
    <w:rsid w:val="00842E71"/>
    <w:rsid w:val="00844E68"/>
    <w:rsid w:val="00844EE1"/>
    <w:rsid w:val="008458D7"/>
    <w:rsid w:val="00845AF4"/>
    <w:rsid w:val="00846152"/>
    <w:rsid w:val="008503CA"/>
    <w:rsid w:val="00851865"/>
    <w:rsid w:val="00852C9D"/>
    <w:rsid w:val="00854AAB"/>
    <w:rsid w:val="00855A3E"/>
    <w:rsid w:val="008573FA"/>
    <w:rsid w:val="00857D4B"/>
    <w:rsid w:val="008635FF"/>
    <w:rsid w:val="008646DD"/>
    <w:rsid w:val="00864DC0"/>
    <w:rsid w:val="00864FBD"/>
    <w:rsid w:val="008652CF"/>
    <w:rsid w:val="00866D18"/>
    <w:rsid w:val="00866D35"/>
    <w:rsid w:val="00867D30"/>
    <w:rsid w:val="008711D4"/>
    <w:rsid w:val="00872122"/>
    <w:rsid w:val="00872666"/>
    <w:rsid w:val="00875158"/>
    <w:rsid w:val="0087576D"/>
    <w:rsid w:val="008759EE"/>
    <w:rsid w:val="00875AF6"/>
    <w:rsid w:val="008768BB"/>
    <w:rsid w:val="00876A17"/>
    <w:rsid w:val="00882F5D"/>
    <w:rsid w:val="00883161"/>
    <w:rsid w:val="00884A3A"/>
    <w:rsid w:val="00884AAF"/>
    <w:rsid w:val="00885F04"/>
    <w:rsid w:val="00886770"/>
    <w:rsid w:val="0088694B"/>
    <w:rsid w:val="00886F31"/>
    <w:rsid w:val="00890432"/>
    <w:rsid w:val="0089078A"/>
    <w:rsid w:val="00891DC4"/>
    <w:rsid w:val="00895B09"/>
    <w:rsid w:val="008A2A87"/>
    <w:rsid w:val="008A36FF"/>
    <w:rsid w:val="008A4DF6"/>
    <w:rsid w:val="008A5E9B"/>
    <w:rsid w:val="008A5ED5"/>
    <w:rsid w:val="008A6524"/>
    <w:rsid w:val="008B156C"/>
    <w:rsid w:val="008B2543"/>
    <w:rsid w:val="008B3424"/>
    <w:rsid w:val="008B4A48"/>
    <w:rsid w:val="008B7595"/>
    <w:rsid w:val="008B782D"/>
    <w:rsid w:val="008C2B9B"/>
    <w:rsid w:val="008C4AB0"/>
    <w:rsid w:val="008D00E8"/>
    <w:rsid w:val="008D0BC1"/>
    <w:rsid w:val="008D1025"/>
    <w:rsid w:val="008D375D"/>
    <w:rsid w:val="008D5516"/>
    <w:rsid w:val="008D7019"/>
    <w:rsid w:val="008E1E73"/>
    <w:rsid w:val="008E2154"/>
    <w:rsid w:val="008E284D"/>
    <w:rsid w:val="008E3C08"/>
    <w:rsid w:val="008E3F91"/>
    <w:rsid w:val="008E51E4"/>
    <w:rsid w:val="008E7026"/>
    <w:rsid w:val="008F0434"/>
    <w:rsid w:val="008F16CB"/>
    <w:rsid w:val="008F1DEE"/>
    <w:rsid w:val="008F524E"/>
    <w:rsid w:val="008F6560"/>
    <w:rsid w:val="008F6ACA"/>
    <w:rsid w:val="008F76CE"/>
    <w:rsid w:val="009012AF"/>
    <w:rsid w:val="00903B97"/>
    <w:rsid w:val="00904C88"/>
    <w:rsid w:val="00905252"/>
    <w:rsid w:val="00905BA5"/>
    <w:rsid w:val="0090726E"/>
    <w:rsid w:val="00907E91"/>
    <w:rsid w:val="00910347"/>
    <w:rsid w:val="00911590"/>
    <w:rsid w:val="00911AD6"/>
    <w:rsid w:val="009132A6"/>
    <w:rsid w:val="00913FDD"/>
    <w:rsid w:val="0091759A"/>
    <w:rsid w:val="00917F59"/>
    <w:rsid w:val="009213E1"/>
    <w:rsid w:val="0092164E"/>
    <w:rsid w:val="0092201F"/>
    <w:rsid w:val="00922D8A"/>
    <w:rsid w:val="00922FA5"/>
    <w:rsid w:val="009232A4"/>
    <w:rsid w:val="00924677"/>
    <w:rsid w:val="0092522B"/>
    <w:rsid w:val="00931FEA"/>
    <w:rsid w:val="00932BDF"/>
    <w:rsid w:val="0093353B"/>
    <w:rsid w:val="00936BD6"/>
    <w:rsid w:val="00937A28"/>
    <w:rsid w:val="009413CA"/>
    <w:rsid w:val="00942389"/>
    <w:rsid w:val="00944237"/>
    <w:rsid w:val="00944DBF"/>
    <w:rsid w:val="00944FF1"/>
    <w:rsid w:val="0094664B"/>
    <w:rsid w:val="00946729"/>
    <w:rsid w:val="00950590"/>
    <w:rsid w:val="009511D5"/>
    <w:rsid w:val="009520B9"/>
    <w:rsid w:val="0095668C"/>
    <w:rsid w:val="0096147E"/>
    <w:rsid w:val="00961591"/>
    <w:rsid w:val="0096301E"/>
    <w:rsid w:val="009656C0"/>
    <w:rsid w:val="009664BF"/>
    <w:rsid w:val="009674AC"/>
    <w:rsid w:val="00972CE8"/>
    <w:rsid w:val="00982182"/>
    <w:rsid w:val="00982215"/>
    <w:rsid w:val="00983F5F"/>
    <w:rsid w:val="00991D6C"/>
    <w:rsid w:val="0099265D"/>
    <w:rsid w:val="00995E12"/>
    <w:rsid w:val="00997D5D"/>
    <w:rsid w:val="009A01B3"/>
    <w:rsid w:val="009A216B"/>
    <w:rsid w:val="009A298C"/>
    <w:rsid w:val="009A3020"/>
    <w:rsid w:val="009A3B37"/>
    <w:rsid w:val="009A4E75"/>
    <w:rsid w:val="009A509C"/>
    <w:rsid w:val="009A56E4"/>
    <w:rsid w:val="009A5B46"/>
    <w:rsid w:val="009A7FD5"/>
    <w:rsid w:val="009B05E0"/>
    <w:rsid w:val="009B0D97"/>
    <w:rsid w:val="009B2E5F"/>
    <w:rsid w:val="009B3057"/>
    <w:rsid w:val="009B5C11"/>
    <w:rsid w:val="009C1AFE"/>
    <w:rsid w:val="009C4B7B"/>
    <w:rsid w:val="009C4FBC"/>
    <w:rsid w:val="009C5298"/>
    <w:rsid w:val="009C6D7D"/>
    <w:rsid w:val="009C6DE1"/>
    <w:rsid w:val="009C7A05"/>
    <w:rsid w:val="009D0F58"/>
    <w:rsid w:val="009D1725"/>
    <w:rsid w:val="009D1D9E"/>
    <w:rsid w:val="009D2AAF"/>
    <w:rsid w:val="009D2F9B"/>
    <w:rsid w:val="009D317D"/>
    <w:rsid w:val="009D3764"/>
    <w:rsid w:val="009D420C"/>
    <w:rsid w:val="009D480A"/>
    <w:rsid w:val="009D5D42"/>
    <w:rsid w:val="009D655F"/>
    <w:rsid w:val="009D6697"/>
    <w:rsid w:val="009E287D"/>
    <w:rsid w:val="009E5326"/>
    <w:rsid w:val="009E5D6B"/>
    <w:rsid w:val="009E6918"/>
    <w:rsid w:val="009F1014"/>
    <w:rsid w:val="009F1015"/>
    <w:rsid w:val="009F20DA"/>
    <w:rsid w:val="009F3183"/>
    <w:rsid w:val="009F3D4D"/>
    <w:rsid w:val="009F4733"/>
    <w:rsid w:val="009F7D44"/>
    <w:rsid w:val="00A0102F"/>
    <w:rsid w:val="00A0257A"/>
    <w:rsid w:val="00A03773"/>
    <w:rsid w:val="00A0383A"/>
    <w:rsid w:val="00A0659C"/>
    <w:rsid w:val="00A10C17"/>
    <w:rsid w:val="00A14B00"/>
    <w:rsid w:val="00A16B7B"/>
    <w:rsid w:val="00A21603"/>
    <w:rsid w:val="00A2265D"/>
    <w:rsid w:val="00A23953"/>
    <w:rsid w:val="00A25D99"/>
    <w:rsid w:val="00A278DA"/>
    <w:rsid w:val="00A27A3F"/>
    <w:rsid w:val="00A27F25"/>
    <w:rsid w:val="00A30754"/>
    <w:rsid w:val="00A31765"/>
    <w:rsid w:val="00A31D4F"/>
    <w:rsid w:val="00A331AD"/>
    <w:rsid w:val="00A33CE5"/>
    <w:rsid w:val="00A361AF"/>
    <w:rsid w:val="00A37C1D"/>
    <w:rsid w:val="00A40635"/>
    <w:rsid w:val="00A40C14"/>
    <w:rsid w:val="00A42C45"/>
    <w:rsid w:val="00A4347E"/>
    <w:rsid w:val="00A459AE"/>
    <w:rsid w:val="00A47545"/>
    <w:rsid w:val="00A47813"/>
    <w:rsid w:val="00A4793D"/>
    <w:rsid w:val="00A47F0E"/>
    <w:rsid w:val="00A5172E"/>
    <w:rsid w:val="00A51BC0"/>
    <w:rsid w:val="00A526FF"/>
    <w:rsid w:val="00A53F7F"/>
    <w:rsid w:val="00A555FB"/>
    <w:rsid w:val="00A559A3"/>
    <w:rsid w:val="00A56223"/>
    <w:rsid w:val="00A5658D"/>
    <w:rsid w:val="00A569A2"/>
    <w:rsid w:val="00A571AE"/>
    <w:rsid w:val="00A57E7F"/>
    <w:rsid w:val="00A60110"/>
    <w:rsid w:val="00A6191E"/>
    <w:rsid w:val="00A6224B"/>
    <w:rsid w:val="00A62D24"/>
    <w:rsid w:val="00A63DBE"/>
    <w:rsid w:val="00A65F87"/>
    <w:rsid w:val="00A670D3"/>
    <w:rsid w:val="00A679AE"/>
    <w:rsid w:val="00A710D9"/>
    <w:rsid w:val="00A7143D"/>
    <w:rsid w:val="00A715A5"/>
    <w:rsid w:val="00A71A86"/>
    <w:rsid w:val="00A71D4A"/>
    <w:rsid w:val="00A72685"/>
    <w:rsid w:val="00A726E7"/>
    <w:rsid w:val="00A734EF"/>
    <w:rsid w:val="00A74FD4"/>
    <w:rsid w:val="00A76799"/>
    <w:rsid w:val="00A76D57"/>
    <w:rsid w:val="00A77C45"/>
    <w:rsid w:val="00A8086A"/>
    <w:rsid w:val="00A812F7"/>
    <w:rsid w:val="00A82425"/>
    <w:rsid w:val="00A82447"/>
    <w:rsid w:val="00A83695"/>
    <w:rsid w:val="00A83900"/>
    <w:rsid w:val="00A83BEC"/>
    <w:rsid w:val="00A8411A"/>
    <w:rsid w:val="00A84D72"/>
    <w:rsid w:val="00A86496"/>
    <w:rsid w:val="00A86B76"/>
    <w:rsid w:val="00A905B7"/>
    <w:rsid w:val="00A9095A"/>
    <w:rsid w:val="00A92431"/>
    <w:rsid w:val="00A956D6"/>
    <w:rsid w:val="00A9667E"/>
    <w:rsid w:val="00A96E7E"/>
    <w:rsid w:val="00A9793F"/>
    <w:rsid w:val="00AA0135"/>
    <w:rsid w:val="00AA0659"/>
    <w:rsid w:val="00AA0905"/>
    <w:rsid w:val="00AA0F44"/>
    <w:rsid w:val="00AA16FD"/>
    <w:rsid w:val="00AA2A9E"/>
    <w:rsid w:val="00AA6F97"/>
    <w:rsid w:val="00AB07F5"/>
    <w:rsid w:val="00AB09C1"/>
    <w:rsid w:val="00AB15D5"/>
    <w:rsid w:val="00AB24B1"/>
    <w:rsid w:val="00AB30D7"/>
    <w:rsid w:val="00AB3B07"/>
    <w:rsid w:val="00AB3FEB"/>
    <w:rsid w:val="00AB48DD"/>
    <w:rsid w:val="00AB566C"/>
    <w:rsid w:val="00AB657E"/>
    <w:rsid w:val="00AB73A1"/>
    <w:rsid w:val="00AC1534"/>
    <w:rsid w:val="00AC585F"/>
    <w:rsid w:val="00AC7B36"/>
    <w:rsid w:val="00AD0F34"/>
    <w:rsid w:val="00AD2506"/>
    <w:rsid w:val="00AD461E"/>
    <w:rsid w:val="00AD5EAE"/>
    <w:rsid w:val="00AD6D32"/>
    <w:rsid w:val="00AE1F6E"/>
    <w:rsid w:val="00AE3B59"/>
    <w:rsid w:val="00AE3CF0"/>
    <w:rsid w:val="00AE442E"/>
    <w:rsid w:val="00AE721E"/>
    <w:rsid w:val="00AE7DE8"/>
    <w:rsid w:val="00AF0983"/>
    <w:rsid w:val="00AF1F99"/>
    <w:rsid w:val="00AF34A9"/>
    <w:rsid w:val="00AF37AF"/>
    <w:rsid w:val="00AF7857"/>
    <w:rsid w:val="00B01497"/>
    <w:rsid w:val="00B018B1"/>
    <w:rsid w:val="00B01CFD"/>
    <w:rsid w:val="00B0218B"/>
    <w:rsid w:val="00B02718"/>
    <w:rsid w:val="00B03890"/>
    <w:rsid w:val="00B039CF"/>
    <w:rsid w:val="00B047C2"/>
    <w:rsid w:val="00B04C27"/>
    <w:rsid w:val="00B0720C"/>
    <w:rsid w:val="00B079EB"/>
    <w:rsid w:val="00B109A8"/>
    <w:rsid w:val="00B10CD2"/>
    <w:rsid w:val="00B15CAB"/>
    <w:rsid w:val="00B17371"/>
    <w:rsid w:val="00B2084A"/>
    <w:rsid w:val="00B20D39"/>
    <w:rsid w:val="00B23DAA"/>
    <w:rsid w:val="00B2512B"/>
    <w:rsid w:val="00B25F9D"/>
    <w:rsid w:val="00B260BF"/>
    <w:rsid w:val="00B264BA"/>
    <w:rsid w:val="00B2700A"/>
    <w:rsid w:val="00B279B0"/>
    <w:rsid w:val="00B27C87"/>
    <w:rsid w:val="00B3104D"/>
    <w:rsid w:val="00B32DF4"/>
    <w:rsid w:val="00B34948"/>
    <w:rsid w:val="00B36097"/>
    <w:rsid w:val="00B36ACC"/>
    <w:rsid w:val="00B36FDF"/>
    <w:rsid w:val="00B4016F"/>
    <w:rsid w:val="00B4206B"/>
    <w:rsid w:val="00B428D1"/>
    <w:rsid w:val="00B42990"/>
    <w:rsid w:val="00B43844"/>
    <w:rsid w:val="00B43DF5"/>
    <w:rsid w:val="00B45851"/>
    <w:rsid w:val="00B46256"/>
    <w:rsid w:val="00B501E5"/>
    <w:rsid w:val="00B5062C"/>
    <w:rsid w:val="00B50773"/>
    <w:rsid w:val="00B52904"/>
    <w:rsid w:val="00B53709"/>
    <w:rsid w:val="00B54017"/>
    <w:rsid w:val="00B55027"/>
    <w:rsid w:val="00B55D65"/>
    <w:rsid w:val="00B57469"/>
    <w:rsid w:val="00B61F2A"/>
    <w:rsid w:val="00B62990"/>
    <w:rsid w:val="00B63F83"/>
    <w:rsid w:val="00B64C5E"/>
    <w:rsid w:val="00B65015"/>
    <w:rsid w:val="00B6529A"/>
    <w:rsid w:val="00B707CF"/>
    <w:rsid w:val="00B70F85"/>
    <w:rsid w:val="00B71020"/>
    <w:rsid w:val="00B72E52"/>
    <w:rsid w:val="00B72F03"/>
    <w:rsid w:val="00B7598A"/>
    <w:rsid w:val="00B77DE7"/>
    <w:rsid w:val="00B8120A"/>
    <w:rsid w:val="00B826CD"/>
    <w:rsid w:val="00B83B68"/>
    <w:rsid w:val="00B83E33"/>
    <w:rsid w:val="00B867F5"/>
    <w:rsid w:val="00B90D86"/>
    <w:rsid w:val="00B9260A"/>
    <w:rsid w:val="00B93220"/>
    <w:rsid w:val="00B944D9"/>
    <w:rsid w:val="00B9455B"/>
    <w:rsid w:val="00B9616A"/>
    <w:rsid w:val="00B9688A"/>
    <w:rsid w:val="00B96C0D"/>
    <w:rsid w:val="00BA04EF"/>
    <w:rsid w:val="00BA0DBF"/>
    <w:rsid w:val="00BA1513"/>
    <w:rsid w:val="00BA28C1"/>
    <w:rsid w:val="00BA2A70"/>
    <w:rsid w:val="00BA2D49"/>
    <w:rsid w:val="00BA2F10"/>
    <w:rsid w:val="00BA40B0"/>
    <w:rsid w:val="00BA49AC"/>
    <w:rsid w:val="00BA5499"/>
    <w:rsid w:val="00BA5945"/>
    <w:rsid w:val="00BA6236"/>
    <w:rsid w:val="00BA6348"/>
    <w:rsid w:val="00BA68F3"/>
    <w:rsid w:val="00BA7F56"/>
    <w:rsid w:val="00BB032B"/>
    <w:rsid w:val="00BB4851"/>
    <w:rsid w:val="00BB4C7F"/>
    <w:rsid w:val="00BB6773"/>
    <w:rsid w:val="00BB6857"/>
    <w:rsid w:val="00BC18D3"/>
    <w:rsid w:val="00BC2BF8"/>
    <w:rsid w:val="00BC33E7"/>
    <w:rsid w:val="00BC35CB"/>
    <w:rsid w:val="00BC519E"/>
    <w:rsid w:val="00BC5310"/>
    <w:rsid w:val="00BC7081"/>
    <w:rsid w:val="00BD0904"/>
    <w:rsid w:val="00BD16CC"/>
    <w:rsid w:val="00BD1D4F"/>
    <w:rsid w:val="00BD47F6"/>
    <w:rsid w:val="00BD4CF3"/>
    <w:rsid w:val="00BD4F3E"/>
    <w:rsid w:val="00BD50A8"/>
    <w:rsid w:val="00BD5531"/>
    <w:rsid w:val="00BD6191"/>
    <w:rsid w:val="00BD7459"/>
    <w:rsid w:val="00BE0ABD"/>
    <w:rsid w:val="00BE2D8D"/>
    <w:rsid w:val="00BE31F3"/>
    <w:rsid w:val="00BE3941"/>
    <w:rsid w:val="00BE45AB"/>
    <w:rsid w:val="00BE51CC"/>
    <w:rsid w:val="00BE57D6"/>
    <w:rsid w:val="00BE7AFF"/>
    <w:rsid w:val="00BF0ECD"/>
    <w:rsid w:val="00BF1199"/>
    <w:rsid w:val="00BF1B39"/>
    <w:rsid w:val="00BF3432"/>
    <w:rsid w:val="00BF4A50"/>
    <w:rsid w:val="00BF5DEA"/>
    <w:rsid w:val="00BF772B"/>
    <w:rsid w:val="00BF786C"/>
    <w:rsid w:val="00C0140E"/>
    <w:rsid w:val="00C01C90"/>
    <w:rsid w:val="00C029C8"/>
    <w:rsid w:val="00C03482"/>
    <w:rsid w:val="00C03852"/>
    <w:rsid w:val="00C0746C"/>
    <w:rsid w:val="00C117E8"/>
    <w:rsid w:val="00C13E18"/>
    <w:rsid w:val="00C1408E"/>
    <w:rsid w:val="00C15A35"/>
    <w:rsid w:val="00C16263"/>
    <w:rsid w:val="00C16911"/>
    <w:rsid w:val="00C17552"/>
    <w:rsid w:val="00C1762C"/>
    <w:rsid w:val="00C17AE0"/>
    <w:rsid w:val="00C17F38"/>
    <w:rsid w:val="00C20A78"/>
    <w:rsid w:val="00C210EC"/>
    <w:rsid w:val="00C23515"/>
    <w:rsid w:val="00C27323"/>
    <w:rsid w:val="00C27C74"/>
    <w:rsid w:val="00C27F4F"/>
    <w:rsid w:val="00C33F74"/>
    <w:rsid w:val="00C33FAE"/>
    <w:rsid w:val="00C341E0"/>
    <w:rsid w:val="00C365C4"/>
    <w:rsid w:val="00C366B2"/>
    <w:rsid w:val="00C36B7F"/>
    <w:rsid w:val="00C37E36"/>
    <w:rsid w:val="00C411AD"/>
    <w:rsid w:val="00C41E7D"/>
    <w:rsid w:val="00C46760"/>
    <w:rsid w:val="00C46E1A"/>
    <w:rsid w:val="00C47294"/>
    <w:rsid w:val="00C50B44"/>
    <w:rsid w:val="00C51F15"/>
    <w:rsid w:val="00C54BF3"/>
    <w:rsid w:val="00C61475"/>
    <w:rsid w:val="00C6323B"/>
    <w:rsid w:val="00C6343F"/>
    <w:rsid w:val="00C63AAD"/>
    <w:rsid w:val="00C63ADB"/>
    <w:rsid w:val="00C65952"/>
    <w:rsid w:val="00C66EA9"/>
    <w:rsid w:val="00C671D5"/>
    <w:rsid w:val="00C7159F"/>
    <w:rsid w:val="00C72B25"/>
    <w:rsid w:val="00C73770"/>
    <w:rsid w:val="00C74635"/>
    <w:rsid w:val="00C74FE5"/>
    <w:rsid w:val="00C75B01"/>
    <w:rsid w:val="00C807D5"/>
    <w:rsid w:val="00C80B46"/>
    <w:rsid w:val="00C81D60"/>
    <w:rsid w:val="00C83D3A"/>
    <w:rsid w:val="00C86003"/>
    <w:rsid w:val="00C864B6"/>
    <w:rsid w:val="00C93403"/>
    <w:rsid w:val="00C9340F"/>
    <w:rsid w:val="00C93BD0"/>
    <w:rsid w:val="00C956C4"/>
    <w:rsid w:val="00C9697B"/>
    <w:rsid w:val="00C96C59"/>
    <w:rsid w:val="00C97AB5"/>
    <w:rsid w:val="00CA4AE2"/>
    <w:rsid w:val="00CA70AA"/>
    <w:rsid w:val="00CB09E5"/>
    <w:rsid w:val="00CB12B9"/>
    <w:rsid w:val="00CB34E2"/>
    <w:rsid w:val="00CB3AB9"/>
    <w:rsid w:val="00CB4EC2"/>
    <w:rsid w:val="00CB4FE5"/>
    <w:rsid w:val="00CB5FB1"/>
    <w:rsid w:val="00CC015E"/>
    <w:rsid w:val="00CC01D7"/>
    <w:rsid w:val="00CC3215"/>
    <w:rsid w:val="00CC3A35"/>
    <w:rsid w:val="00CC4DA1"/>
    <w:rsid w:val="00CD024E"/>
    <w:rsid w:val="00CD1E4A"/>
    <w:rsid w:val="00CD29B3"/>
    <w:rsid w:val="00CD32CC"/>
    <w:rsid w:val="00CD3F98"/>
    <w:rsid w:val="00CD41EF"/>
    <w:rsid w:val="00CD4DE3"/>
    <w:rsid w:val="00CD795C"/>
    <w:rsid w:val="00CE0690"/>
    <w:rsid w:val="00CE1CC6"/>
    <w:rsid w:val="00CE29CF"/>
    <w:rsid w:val="00CE48C4"/>
    <w:rsid w:val="00CE6113"/>
    <w:rsid w:val="00CE6565"/>
    <w:rsid w:val="00CF1A2F"/>
    <w:rsid w:val="00CF2275"/>
    <w:rsid w:val="00CF24B7"/>
    <w:rsid w:val="00CF2789"/>
    <w:rsid w:val="00CF44B4"/>
    <w:rsid w:val="00CF4874"/>
    <w:rsid w:val="00CF4AED"/>
    <w:rsid w:val="00CF4C3E"/>
    <w:rsid w:val="00CF57F5"/>
    <w:rsid w:val="00CF633B"/>
    <w:rsid w:val="00CF731D"/>
    <w:rsid w:val="00D0031E"/>
    <w:rsid w:val="00D003C7"/>
    <w:rsid w:val="00D0054F"/>
    <w:rsid w:val="00D00881"/>
    <w:rsid w:val="00D01B6A"/>
    <w:rsid w:val="00D03BFB"/>
    <w:rsid w:val="00D06119"/>
    <w:rsid w:val="00D074E3"/>
    <w:rsid w:val="00D10549"/>
    <w:rsid w:val="00D14195"/>
    <w:rsid w:val="00D1561A"/>
    <w:rsid w:val="00D16E1B"/>
    <w:rsid w:val="00D17CAE"/>
    <w:rsid w:val="00D2117C"/>
    <w:rsid w:val="00D22DBD"/>
    <w:rsid w:val="00D23419"/>
    <w:rsid w:val="00D23C00"/>
    <w:rsid w:val="00D25546"/>
    <w:rsid w:val="00D26521"/>
    <w:rsid w:val="00D26E14"/>
    <w:rsid w:val="00D27204"/>
    <w:rsid w:val="00D275A5"/>
    <w:rsid w:val="00D33754"/>
    <w:rsid w:val="00D33756"/>
    <w:rsid w:val="00D34EDB"/>
    <w:rsid w:val="00D35B8E"/>
    <w:rsid w:val="00D37A3A"/>
    <w:rsid w:val="00D405EC"/>
    <w:rsid w:val="00D40750"/>
    <w:rsid w:val="00D41931"/>
    <w:rsid w:val="00D42096"/>
    <w:rsid w:val="00D420C3"/>
    <w:rsid w:val="00D437B5"/>
    <w:rsid w:val="00D45783"/>
    <w:rsid w:val="00D463BA"/>
    <w:rsid w:val="00D46448"/>
    <w:rsid w:val="00D4771E"/>
    <w:rsid w:val="00D4794A"/>
    <w:rsid w:val="00D47AAA"/>
    <w:rsid w:val="00D50749"/>
    <w:rsid w:val="00D52818"/>
    <w:rsid w:val="00D52B8F"/>
    <w:rsid w:val="00D53337"/>
    <w:rsid w:val="00D5435B"/>
    <w:rsid w:val="00D56480"/>
    <w:rsid w:val="00D61169"/>
    <w:rsid w:val="00D61460"/>
    <w:rsid w:val="00D61464"/>
    <w:rsid w:val="00D61CDA"/>
    <w:rsid w:val="00D63A41"/>
    <w:rsid w:val="00D6519F"/>
    <w:rsid w:val="00D65BDA"/>
    <w:rsid w:val="00D65EB9"/>
    <w:rsid w:val="00D66304"/>
    <w:rsid w:val="00D665A3"/>
    <w:rsid w:val="00D67361"/>
    <w:rsid w:val="00D67D6F"/>
    <w:rsid w:val="00D70974"/>
    <w:rsid w:val="00D72CCD"/>
    <w:rsid w:val="00D73C2F"/>
    <w:rsid w:val="00D759B7"/>
    <w:rsid w:val="00D7763A"/>
    <w:rsid w:val="00D802DB"/>
    <w:rsid w:val="00D81303"/>
    <w:rsid w:val="00D82212"/>
    <w:rsid w:val="00D833DB"/>
    <w:rsid w:val="00D839F7"/>
    <w:rsid w:val="00D83BC3"/>
    <w:rsid w:val="00D8693A"/>
    <w:rsid w:val="00D86959"/>
    <w:rsid w:val="00D86C88"/>
    <w:rsid w:val="00D86FBD"/>
    <w:rsid w:val="00D90B55"/>
    <w:rsid w:val="00D92577"/>
    <w:rsid w:val="00D92E07"/>
    <w:rsid w:val="00D96ABB"/>
    <w:rsid w:val="00D971CC"/>
    <w:rsid w:val="00D971F8"/>
    <w:rsid w:val="00DA038E"/>
    <w:rsid w:val="00DA043F"/>
    <w:rsid w:val="00DA1B95"/>
    <w:rsid w:val="00DA2667"/>
    <w:rsid w:val="00DA2948"/>
    <w:rsid w:val="00DA3E58"/>
    <w:rsid w:val="00DA42DB"/>
    <w:rsid w:val="00DA435B"/>
    <w:rsid w:val="00DA5BAB"/>
    <w:rsid w:val="00DA6020"/>
    <w:rsid w:val="00DA6420"/>
    <w:rsid w:val="00DB23A1"/>
    <w:rsid w:val="00DB261C"/>
    <w:rsid w:val="00DB4314"/>
    <w:rsid w:val="00DB7257"/>
    <w:rsid w:val="00DC1150"/>
    <w:rsid w:val="00DC2752"/>
    <w:rsid w:val="00DC2AFA"/>
    <w:rsid w:val="00DC3353"/>
    <w:rsid w:val="00DC3613"/>
    <w:rsid w:val="00DC3DCE"/>
    <w:rsid w:val="00DC64AB"/>
    <w:rsid w:val="00DC6622"/>
    <w:rsid w:val="00DC7396"/>
    <w:rsid w:val="00DD1F46"/>
    <w:rsid w:val="00DD3F8F"/>
    <w:rsid w:val="00DD51D5"/>
    <w:rsid w:val="00DD5EA2"/>
    <w:rsid w:val="00DD7198"/>
    <w:rsid w:val="00DD7E47"/>
    <w:rsid w:val="00DE0AAE"/>
    <w:rsid w:val="00DE0ACE"/>
    <w:rsid w:val="00DE0FE5"/>
    <w:rsid w:val="00DE3E6D"/>
    <w:rsid w:val="00DE6A96"/>
    <w:rsid w:val="00DE78D6"/>
    <w:rsid w:val="00DF0D8B"/>
    <w:rsid w:val="00DF1609"/>
    <w:rsid w:val="00DF7122"/>
    <w:rsid w:val="00DF76CA"/>
    <w:rsid w:val="00E00EEE"/>
    <w:rsid w:val="00E03168"/>
    <w:rsid w:val="00E031B2"/>
    <w:rsid w:val="00E0457E"/>
    <w:rsid w:val="00E063CD"/>
    <w:rsid w:val="00E074D9"/>
    <w:rsid w:val="00E07514"/>
    <w:rsid w:val="00E101EF"/>
    <w:rsid w:val="00E107E1"/>
    <w:rsid w:val="00E10F7F"/>
    <w:rsid w:val="00E132B7"/>
    <w:rsid w:val="00E136A7"/>
    <w:rsid w:val="00E13AF1"/>
    <w:rsid w:val="00E13E14"/>
    <w:rsid w:val="00E17078"/>
    <w:rsid w:val="00E20704"/>
    <w:rsid w:val="00E23316"/>
    <w:rsid w:val="00E234B3"/>
    <w:rsid w:val="00E30DFF"/>
    <w:rsid w:val="00E32D1B"/>
    <w:rsid w:val="00E33370"/>
    <w:rsid w:val="00E33E51"/>
    <w:rsid w:val="00E34AEA"/>
    <w:rsid w:val="00E35C34"/>
    <w:rsid w:val="00E40DC9"/>
    <w:rsid w:val="00E41F67"/>
    <w:rsid w:val="00E42845"/>
    <w:rsid w:val="00E44CA1"/>
    <w:rsid w:val="00E47E46"/>
    <w:rsid w:val="00E500D5"/>
    <w:rsid w:val="00E503F3"/>
    <w:rsid w:val="00E51DC4"/>
    <w:rsid w:val="00E5410B"/>
    <w:rsid w:val="00E55CED"/>
    <w:rsid w:val="00E56A3E"/>
    <w:rsid w:val="00E56BC7"/>
    <w:rsid w:val="00E56C46"/>
    <w:rsid w:val="00E56CB0"/>
    <w:rsid w:val="00E6085C"/>
    <w:rsid w:val="00E60B97"/>
    <w:rsid w:val="00E62183"/>
    <w:rsid w:val="00E62499"/>
    <w:rsid w:val="00E65C3D"/>
    <w:rsid w:val="00E701DB"/>
    <w:rsid w:val="00E70232"/>
    <w:rsid w:val="00E71ADF"/>
    <w:rsid w:val="00E72033"/>
    <w:rsid w:val="00E72147"/>
    <w:rsid w:val="00E724F5"/>
    <w:rsid w:val="00E72589"/>
    <w:rsid w:val="00E7287E"/>
    <w:rsid w:val="00E7443B"/>
    <w:rsid w:val="00E75144"/>
    <w:rsid w:val="00E77F8D"/>
    <w:rsid w:val="00E810E8"/>
    <w:rsid w:val="00E81138"/>
    <w:rsid w:val="00E821DB"/>
    <w:rsid w:val="00E82454"/>
    <w:rsid w:val="00E839A2"/>
    <w:rsid w:val="00E83ED2"/>
    <w:rsid w:val="00E856D3"/>
    <w:rsid w:val="00E8585F"/>
    <w:rsid w:val="00E85ED7"/>
    <w:rsid w:val="00E879F9"/>
    <w:rsid w:val="00E903FB"/>
    <w:rsid w:val="00E911D3"/>
    <w:rsid w:val="00E9151B"/>
    <w:rsid w:val="00E94637"/>
    <w:rsid w:val="00E94F21"/>
    <w:rsid w:val="00E956F9"/>
    <w:rsid w:val="00E96832"/>
    <w:rsid w:val="00EA03D3"/>
    <w:rsid w:val="00EA0794"/>
    <w:rsid w:val="00EA54C9"/>
    <w:rsid w:val="00EA6D33"/>
    <w:rsid w:val="00EA73BB"/>
    <w:rsid w:val="00EB0885"/>
    <w:rsid w:val="00EB0B13"/>
    <w:rsid w:val="00EB1DAC"/>
    <w:rsid w:val="00EB251E"/>
    <w:rsid w:val="00EB331B"/>
    <w:rsid w:val="00EB4D60"/>
    <w:rsid w:val="00EB7554"/>
    <w:rsid w:val="00EC005D"/>
    <w:rsid w:val="00EC43F7"/>
    <w:rsid w:val="00EC45AF"/>
    <w:rsid w:val="00EC4681"/>
    <w:rsid w:val="00EC63AF"/>
    <w:rsid w:val="00EC66D1"/>
    <w:rsid w:val="00EC6FEC"/>
    <w:rsid w:val="00EC7AD5"/>
    <w:rsid w:val="00ED30A5"/>
    <w:rsid w:val="00ED38FD"/>
    <w:rsid w:val="00ED5714"/>
    <w:rsid w:val="00ED6048"/>
    <w:rsid w:val="00ED6479"/>
    <w:rsid w:val="00EE1BCC"/>
    <w:rsid w:val="00EE3E33"/>
    <w:rsid w:val="00EF2A86"/>
    <w:rsid w:val="00EF3F81"/>
    <w:rsid w:val="00EF45DF"/>
    <w:rsid w:val="00EF57A2"/>
    <w:rsid w:val="00EF5DAA"/>
    <w:rsid w:val="00F045BC"/>
    <w:rsid w:val="00F05F2A"/>
    <w:rsid w:val="00F05FB9"/>
    <w:rsid w:val="00F11811"/>
    <w:rsid w:val="00F1282B"/>
    <w:rsid w:val="00F1604B"/>
    <w:rsid w:val="00F16D72"/>
    <w:rsid w:val="00F21755"/>
    <w:rsid w:val="00F2297E"/>
    <w:rsid w:val="00F22AA9"/>
    <w:rsid w:val="00F23297"/>
    <w:rsid w:val="00F25A13"/>
    <w:rsid w:val="00F25A68"/>
    <w:rsid w:val="00F25BD0"/>
    <w:rsid w:val="00F271EE"/>
    <w:rsid w:val="00F31DC9"/>
    <w:rsid w:val="00F32C6E"/>
    <w:rsid w:val="00F3460D"/>
    <w:rsid w:val="00F35688"/>
    <w:rsid w:val="00F36B0A"/>
    <w:rsid w:val="00F401F0"/>
    <w:rsid w:val="00F43202"/>
    <w:rsid w:val="00F440F0"/>
    <w:rsid w:val="00F460AF"/>
    <w:rsid w:val="00F46B84"/>
    <w:rsid w:val="00F477D9"/>
    <w:rsid w:val="00F51288"/>
    <w:rsid w:val="00F52EE5"/>
    <w:rsid w:val="00F53525"/>
    <w:rsid w:val="00F53C86"/>
    <w:rsid w:val="00F55A5C"/>
    <w:rsid w:val="00F61842"/>
    <w:rsid w:val="00F62644"/>
    <w:rsid w:val="00F6298C"/>
    <w:rsid w:val="00F63EB3"/>
    <w:rsid w:val="00F665CF"/>
    <w:rsid w:val="00F72687"/>
    <w:rsid w:val="00F72E94"/>
    <w:rsid w:val="00F733FE"/>
    <w:rsid w:val="00F73931"/>
    <w:rsid w:val="00F75926"/>
    <w:rsid w:val="00F76900"/>
    <w:rsid w:val="00F7695C"/>
    <w:rsid w:val="00F803BB"/>
    <w:rsid w:val="00F80E10"/>
    <w:rsid w:val="00F814B4"/>
    <w:rsid w:val="00F81D00"/>
    <w:rsid w:val="00F82C1D"/>
    <w:rsid w:val="00F901F0"/>
    <w:rsid w:val="00F904FD"/>
    <w:rsid w:val="00F92A0A"/>
    <w:rsid w:val="00F92EB9"/>
    <w:rsid w:val="00F93510"/>
    <w:rsid w:val="00F935AB"/>
    <w:rsid w:val="00F944A8"/>
    <w:rsid w:val="00FA27BE"/>
    <w:rsid w:val="00FA347E"/>
    <w:rsid w:val="00FA3AF9"/>
    <w:rsid w:val="00FA4285"/>
    <w:rsid w:val="00FA485A"/>
    <w:rsid w:val="00FA5821"/>
    <w:rsid w:val="00FA6333"/>
    <w:rsid w:val="00FA65FC"/>
    <w:rsid w:val="00FA7756"/>
    <w:rsid w:val="00FA7CD9"/>
    <w:rsid w:val="00FB1152"/>
    <w:rsid w:val="00FB3CBC"/>
    <w:rsid w:val="00FB42B2"/>
    <w:rsid w:val="00FB661B"/>
    <w:rsid w:val="00FC1ADF"/>
    <w:rsid w:val="00FC25F3"/>
    <w:rsid w:val="00FC321B"/>
    <w:rsid w:val="00FC491F"/>
    <w:rsid w:val="00FC685C"/>
    <w:rsid w:val="00FC7354"/>
    <w:rsid w:val="00FD2073"/>
    <w:rsid w:val="00FD209F"/>
    <w:rsid w:val="00FD24CE"/>
    <w:rsid w:val="00FD2E45"/>
    <w:rsid w:val="00FD2E8B"/>
    <w:rsid w:val="00FD3554"/>
    <w:rsid w:val="00FD5283"/>
    <w:rsid w:val="00FD61E0"/>
    <w:rsid w:val="00FE00E7"/>
    <w:rsid w:val="00FE0638"/>
    <w:rsid w:val="00FE138C"/>
    <w:rsid w:val="00FE14A4"/>
    <w:rsid w:val="00FE319C"/>
    <w:rsid w:val="00FE423B"/>
    <w:rsid w:val="00FE4CEB"/>
    <w:rsid w:val="00FE5B5D"/>
    <w:rsid w:val="00FE65A8"/>
    <w:rsid w:val="00FE6905"/>
    <w:rsid w:val="00FF0ABB"/>
    <w:rsid w:val="00FF0FE0"/>
    <w:rsid w:val="00FF3553"/>
    <w:rsid w:val="00FF38E5"/>
    <w:rsid w:val="00FF459E"/>
    <w:rsid w:val="00FF55EC"/>
    <w:rsid w:val="00FF5E27"/>
    <w:rsid w:val="00FF6AB5"/>
    <w:rsid w:val="00FF70D5"/>
    <w:rsid w:val="301033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qFormat="1" w:uiPriority="39" w:semiHidden="0" w:name="toc 3"/>
    <w:lsdException w:uiPriority="39" w:name="toc 4"/>
    <w:lsdException w:qFormat="1" w:uiPriority="39" w:semiHidden="0" w:name="toc 5"/>
    <w:lsdException w:uiPriority="39" w:name="toc 6"/>
    <w:lsdException w:qFormat="1" w:unhideWhenUsed="0" w:uiPriority="99" w:semiHidden="0"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仿宋" w:asciiTheme="minorHAnsi" w:hAnsiTheme="minorHAnsi" w:cstheme="minorBidi"/>
      <w:kern w:val="2"/>
      <w:sz w:val="24"/>
      <w:szCs w:val="22"/>
      <w:lang w:val="en-US" w:eastAsia="zh-CN" w:bidi="ar-SA"/>
    </w:rPr>
  </w:style>
  <w:style w:type="paragraph" w:styleId="2">
    <w:name w:val="heading 1"/>
    <w:basedOn w:val="1"/>
    <w:next w:val="1"/>
    <w:link w:val="31"/>
    <w:qFormat/>
    <w:uiPriority w:val="9"/>
    <w:pPr>
      <w:keepNext/>
      <w:widowControl/>
      <w:ind w:firstLine="0" w:firstLineChars="0"/>
      <w:jc w:val="left"/>
      <w:outlineLvl w:val="0"/>
    </w:pPr>
    <w:rPr>
      <w:rFonts w:cs="宋体" w:asciiTheme="majorHAnsi" w:hAnsiTheme="majorHAnsi"/>
      <w:b/>
      <w:bCs/>
      <w:kern w:val="32"/>
      <w:szCs w:val="32"/>
    </w:rPr>
  </w:style>
  <w:style w:type="paragraph" w:styleId="3">
    <w:name w:val="heading 2"/>
    <w:basedOn w:val="1"/>
    <w:next w:val="1"/>
    <w:link w:val="37"/>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55"/>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57"/>
    <w:qFormat/>
    <w:uiPriority w:val="0"/>
    <w:pPr>
      <w:spacing w:before="100" w:beforeAutospacing="1" w:after="100" w:afterAutospacing="1" w:line="240" w:lineRule="auto"/>
      <w:ind w:firstLine="0" w:firstLineChars="0"/>
      <w:jc w:val="left"/>
      <w:outlineLvl w:val="4"/>
    </w:pPr>
    <w:rPr>
      <w:rFonts w:hint="eastAsia" w:ascii="宋体" w:hAnsi="宋体" w:eastAsia="宋体" w:cs="Times New Roman"/>
      <w:b/>
      <w:bCs/>
      <w:kern w:val="0"/>
      <w:sz w:val="20"/>
      <w:szCs w:val="20"/>
    </w:rPr>
  </w:style>
  <w:style w:type="character" w:default="1" w:styleId="27">
    <w:name w:val="Default Paragraph Font"/>
    <w:semiHidden/>
    <w:unhideWhenUsed/>
    <w:uiPriority w:val="1"/>
  </w:style>
  <w:style w:type="table" w:default="1" w:styleId="25">
    <w:name w:val="Normal Table"/>
    <w:semiHidden/>
    <w:unhideWhenUsed/>
    <w:uiPriority w:val="99"/>
    <w:tblPr>
      <w:tblCellMar>
        <w:top w:w="0" w:type="dxa"/>
        <w:left w:w="108" w:type="dxa"/>
        <w:bottom w:w="0" w:type="dxa"/>
        <w:right w:w="108" w:type="dxa"/>
      </w:tblCellMar>
    </w:tblPr>
  </w:style>
  <w:style w:type="paragraph" w:styleId="7">
    <w:name w:val="toc 7"/>
    <w:basedOn w:val="1"/>
    <w:next w:val="1"/>
    <w:qFormat/>
    <w:uiPriority w:val="99"/>
    <w:pPr>
      <w:spacing w:line="240" w:lineRule="auto"/>
      <w:ind w:left="1260" w:firstLine="0" w:firstLineChars="0"/>
      <w:jc w:val="left"/>
    </w:pPr>
    <w:rPr>
      <w:rFonts w:ascii="Calibri" w:hAnsi="Calibri" w:eastAsia="宋体" w:cs="Times New Roman"/>
      <w:sz w:val="18"/>
      <w:szCs w:val="18"/>
    </w:rPr>
  </w:style>
  <w:style w:type="paragraph" w:styleId="8">
    <w:name w:val="Body Text"/>
    <w:basedOn w:val="1"/>
    <w:next w:val="9"/>
    <w:link w:val="38"/>
    <w:qFormat/>
    <w:uiPriority w:val="0"/>
    <w:pPr>
      <w:spacing w:after="120" w:line="240" w:lineRule="auto"/>
    </w:pPr>
    <w:rPr>
      <w:rFonts w:ascii="Calibri" w:hAnsi="Calibri" w:eastAsia="宋体" w:cs="Times New Roman"/>
      <w:sz w:val="21"/>
      <w:szCs w:val="24"/>
    </w:rPr>
  </w:style>
  <w:style w:type="paragraph" w:styleId="9">
    <w:name w:val="toc 5"/>
    <w:basedOn w:val="1"/>
    <w:next w:val="1"/>
    <w:autoRedefine/>
    <w:unhideWhenUsed/>
    <w:qFormat/>
    <w:uiPriority w:val="39"/>
    <w:pPr>
      <w:ind w:firstLine="482"/>
    </w:pPr>
    <w:rPr>
      <w:b/>
      <w:bCs/>
      <w:color w:val="4472C4" w:themeColor="accent1"/>
      <w14:textFill>
        <w14:solidFill>
          <w14:schemeClr w14:val="accent1"/>
        </w14:solidFill>
      </w14:textFill>
    </w:rPr>
  </w:style>
  <w:style w:type="paragraph" w:styleId="10">
    <w:name w:val="Body Text Indent"/>
    <w:basedOn w:val="1"/>
    <w:next w:val="11"/>
    <w:link w:val="58"/>
    <w:qFormat/>
    <w:uiPriority w:val="99"/>
    <w:pPr>
      <w:spacing w:line="240" w:lineRule="auto"/>
      <w:ind w:left="420" w:leftChars="200" w:firstLine="0" w:firstLineChars="0"/>
    </w:pPr>
    <w:rPr>
      <w:rFonts w:ascii="Calibri" w:hAnsi="Calibri" w:eastAsia="宋体" w:cs="Times New Roman"/>
      <w:sz w:val="21"/>
      <w:szCs w:val="24"/>
    </w:rPr>
  </w:style>
  <w:style w:type="paragraph" w:styleId="11">
    <w:name w:val="envelope return"/>
    <w:basedOn w:val="1"/>
    <w:next w:val="7"/>
    <w:qFormat/>
    <w:uiPriority w:val="99"/>
    <w:pPr>
      <w:snapToGrid w:val="0"/>
      <w:spacing w:line="240" w:lineRule="auto"/>
      <w:ind w:firstLine="0" w:firstLineChars="0"/>
    </w:pPr>
    <w:rPr>
      <w:rFonts w:ascii="Arial" w:hAnsi="Arial" w:eastAsia="宋体" w:cs="Times New Roman"/>
      <w:sz w:val="21"/>
      <w:szCs w:val="24"/>
    </w:rPr>
  </w:style>
  <w:style w:type="paragraph" w:styleId="12">
    <w:name w:val="toc 3"/>
    <w:basedOn w:val="1"/>
    <w:next w:val="1"/>
    <w:autoRedefine/>
    <w:unhideWhenUsed/>
    <w:qFormat/>
    <w:uiPriority w:val="39"/>
    <w:pPr>
      <w:widowControl/>
      <w:spacing w:after="100" w:line="259" w:lineRule="auto"/>
      <w:ind w:left="440" w:firstLine="0" w:firstLineChars="0"/>
      <w:jc w:val="left"/>
    </w:pPr>
    <w:rPr>
      <w:rFonts w:cs="Times New Roman" w:eastAsiaTheme="minorEastAsia"/>
      <w:kern w:val="0"/>
      <w:sz w:val="22"/>
    </w:rPr>
  </w:style>
  <w:style w:type="paragraph" w:styleId="13">
    <w:name w:val="Date"/>
    <w:basedOn w:val="1"/>
    <w:next w:val="1"/>
    <w:link w:val="45"/>
    <w:semiHidden/>
    <w:unhideWhenUsed/>
    <w:uiPriority w:val="99"/>
    <w:pPr>
      <w:ind w:left="100" w:leftChars="2500"/>
    </w:pPr>
  </w:style>
  <w:style w:type="paragraph" w:styleId="14">
    <w:name w:val="Body Text Indent 2"/>
    <w:basedOn w:val="1"/>
    <w:link w:val="53"/>
    <w:unhideWhenUsed/>
    <w:qFormat/>
    <w:uiPriority w:val="99"/>
    <w:pPr>
      <w:spacing w:after="120" w:line="480" w:lineRule="auto"/>
      <w:ind w:left="420" w:leftChars="200"/>
    </w:pPr>
  </w:style>
  <w:style w:type="paragraph" w:styleId="15">
    <w:name w:val="footer"/>
    <w:basedOn w:val="1"/>
    <w:link w:val="35"/>
    <w:unhideWhenUsed/>
    <w:uiPriority w:val="0"/>
    <w:pPr>
      <w:tabs>
        <w:tab w:val="center" w:pos="4153"/>
        <w:tab w:val="right" w:pos="8306"/>
      </w:tabs>
      <w:snapToGrid w:val="0"/>
      <w:jc w:val="left"/>
    </w:pPr>
    <w:rPr>
      <w:sz w:val="18"/>
      <w:szCs w:val="18"/>
    </w:rPr>
  </w:style>
  <w:style w:type="paragraph" w:styleId="16">
    <w:name w:val="header"/>
    <w:basedOn w:val="1"/>
    <w:link w:val="34"/>
    <w:unhideWhenUsed/>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unhideWhenUsed/>
    <w:qFormat/>
    <w:uiPriority w:val="39"/>
    <w:pPr>
      <w:widowControl/>
      <w:spacing w:after="100" w:line="259" w:lineRule="auto"/>
      <w:ind w:firstLine="0" w:firstLineChars="0"/>
      <w:jc w:val="left"/>
    </w:pPr>
    <w:rPr>
      <w:rFonts w:cs="Times New Roman" w:eastAsiaTheme="minorEastAsia"/>
      <w:kern w:val="0"/>
      <w:sz w:val="22"/>
    </w:rPr>
  </w:style>
  <w:style w:type="paragraph" w:styleId="18">
    <w:name w:val="Subtitle"/>
    <w:basedOn w:val="3"/>
    <w:next w:val="1"/>
    <w:link w:val="59"/>
    <w:qFormat/>
    <w:uiPriority w:val="11"/>
    <w:pPr>
      <w:keepNext w:val="0"/>
      <w:keepLines w:val="0"/>
      <w:numPr>
        <w:ilvl w:val="1"/>
        <w:numId w:val="1"/>
      </w:numPr>
      <w:spacing w:before="100" w:beforeLines="100" w:beforeAutospacing="1" w:after="100" w:afterLines="100" w:afterAutospacing="1" w:line="240" w:lineRule="auto"/>
      <w:ind w:firstLine="0" w:firstLineChars="0"/>
      <w:jc w:val="left"/>
    </w:pPr>
    <w:rPr>
      <w:rFonts w:hint="eastAsia" w:ascii="宋体" w:hAnsi="宋体" w:eastAsia="方正仿宋_GB2312" w:cs="Times New Roman"/>
      <w:kern w:val="0"/>
      <w:sz w:val="30"/>
      <w:szCs w:val="36"/>
    </w:rPr>
  </w:style>
  <w:style w:type="paragraph" w:styleId="19">
    <w:name w:val="toc 2"/>
    <w:basedOn w:val="1"/>
    <w:next w:val="1"/>
    <w:autoRedefine/>
    <w:unhideWhenUsed/>
    <w:uiPriority w:val="39"/>
    <w:pPr>
      <w:widowControl/>
      <w:spacing w:after="100" w:line="259" w:lineRule="auto"/>
      <w:ind w:left="220" w:firstLine="0" w:firstLineChars="0"/>
      <w:jc w:val="left"/>
    </w:pPr>
    <w:rPr>
      <w:rFonts w:cs="Times New Roman" w:eastAsiaTheme="minorEastAsia"/>
      <w:kern w:val="0"/>
      <w:sz w:val="22"/>
    </w:rPr>
  </w:style>
  <w:style w:type="paragraph" w:styleId="20">
    <w:name w:val="HTML Preformatted"/>
    <w:basedOn w:val="1"/>
    <w:link w:val="60"/>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hint="eastAsia" w:ascii="宋体" w:hAnsi="宋体" w:eastAsia="宋体" w:cs="Times New Roman"/>
      <w:kern w:val="0"/>
      <w:szCs w:val="24"/>
    </w:rPr>
  </w:style>
  <w:style w:type="paragraph" w:styleId="21">
    <w:name w:val="Normal (Web)"/>
    <w:basedOn w:val="1"/>
    <w:unhideWhenUsed/>
    <w:uiPriority w:val="0"/>
    <w:pPr>
      <w:widowControl/>
      <w:spacing w:before="100" w:beforeAutospacing="1" w:after="100" w:afterAutospacing="1" w:line="240" w:lineRule="auto"/>
      <w:jc w:val="left"/>
    </w:pPr>
    <w:rPr>
      <w:rFonts w:ascii="宋体" w:hAnsi="宋体" w:eastAsia="宋体" w:cs="宋体"/>
      <w:kern w:val="0"/>
      <w:szCs w:val="24"/>
    </w:rPr>
  </w:style>
  <w:style w:type="paragraph" w:styleId="22">
    <w:name w:val="Title"/>
    <w:basedOn w:val="2"/>
    <w:next w:val="1"/>
    <w:link w:val="61"/>
    <w:qFormat/>
    <w:uiPriority w:val="10"/>
    <w:pPr>
      <w:keepNext w:val="0"/>
      <w:widowControl w:val="0"/>
      <w:numPr>
        <w:ilvl w:val="0"/>
        <w:numId w:val="1"/>
      </w:numPr>
      <w:spacing w:before="312" w:beforeAutospacing="1" w:after="312" w:afterAutospacing="1" w:line="240" w:lineRule="auto"/>
    </w:pPr>
    <w:rPr>
      <w:rFonts w:hint="eastAsia" w:ascii="宋体" w:hAnsi="宋体" w:eastAsia="黑体" w:cs="Times New Roman"/>
      <w:b w:val="0"/>
      <w:kern w:val="44"/>
      <w:sz w:val="36"/>
      <w:szCs w:val="48"/>
    </w:rPr>
  </w:style>
  <w:style w:type="paragraph" w:styleId="23">
    <w:name w:val="Body Text First Indent"/>
    <w:basedOn w:val="8"/>
    <w:link w:val="62"/>
    <w:qFormat/>
    <w:uiPriority w:val="0"/>
    <w:pPr>
      <w:ind w:firstLine="420" w:firstLineChars="100"/>
    </w:pPr>
  </w:style>
  <w:style w:type="paragraph" w:styleId="24">
    <w:name w:val="Body Text First Indent 2"/>
    <w:basedOn w:val="10"/>
    <w:next w:val="1"/>
    <w:link w:val="63"/>
    <w:qFormat/>
    <w:uiPriority w:val="99"/>
    <w:pPr>
      <w:spacing w:line="360" w:lineRule="auto"/>
      <w:ind w:firstLine="200" w:firstLineChars="200"/>
    </w:pPr>
    <w:rPr>
      <w:rFonts w:ascii="宋体"/>
      <w:szCs w:val="20"/>
    </w:rPr>
  </w:style>
  <w:style w:type="table" w:styleId="26">
    <w:name w:val="Table Grid"/>
    <w:basedOn w:val="25"/>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bCs/>
    </w:rPr>
  </w:style>
  <w:style w:type="character" w:styleId="29">
    <w:name w:val="Emphasis"/>
    <w:qFormat/>
    <w:uiPriority w:val="0"/>
    <w:rPr>
      <w:i/>
    </w:rPr>
  </w:style>
  <w:style w:type="character" w:styleId="30">
    <w:name w:val="Hyperlink"/>
    <w:basedOn w:val="27"/>
    <w:unhideWhenUsed/>
    <w:uiPriority w:val="99"/>
    <w:rPr>
      <w:color w:val="0563C1" w:themeColor="hyperlink"/>
      <w:u w:val="single"/>
      <w14:textFill>
        <w14:solidFill>
          <w14:schemeClr w14:val="hlink"/>
        </w14:solidFill>
      </w14:textFill>
    </w:rPr>
  </w:style>
  <w:style w:type="character" w:customStyle="1" w:styleId="31">
    <w:name w:val="标题 1 字符"/>
    <w:basedOn w:val="27"/>
    <w:link w:val="2"/>
    <w:uiPriority w:val="9"/>
    <w:rPr>
      <w:rFonts w:eastAsia="仿宋" w:cs="宋体" w:asciiTheme="majorHAnsi" w:hAnsiTheme="majorHAnsi"/>
      <w:b/>
      <w:bCs/>
      <w:kern w:val="32"/>
      <w:sz w:val="24"/>
      <w:szCs w:val="32"/>
    </w:rPr>
  </w:style>
  <w:style w:type="paragraph" w:styleId="32">
    <w:name w:val="List Paragraph"/>
    <w:basedOn w:val="1"/>
    <w:qFormat/>
    <w:uiPriority w:val="34"/>
    <w:pPr>
      <w:widowControl/>
      <w:ind w:left="720"/>
      <w:contextualSpacing/>
      <w:jc w:val="left"/>
    </w:pPr>
    <w:rPr>
      <w:rFonts w:cs="Times New Roman"/>
      <w:kern w:val="0"/>
      <w:szCs w:val="24"/>
    </w:rPr>
  </w:style>
  <w:style w:type="table" w:customStyle="1" w:styleId="33">
    <w:name w:val="Grid Table 1 Light Accent 1"/>
    <w:basedOn w:val="25"/>
    <w:uiPriority w:val="46"/>
    <w:rPr>
      <w:rFonts w:cs="Times New Roman"/>
      <w:kern w:val="0"/>
      <w:sz w:val="22"/>
    </w:rPr>
    <w:tblPr>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cPr>
        <w:tcBorders>
          <w:bottom w:val="single" w:color="8EAADB" w:themeColor="accent1" w:themeTint="99" w:sz="12" w:space="0"/>
        </w:tcBorders>
      </w:tcPr>
    </w:tblStylePr>
    <w:tblStylePr w:type="lastRow">
      <w:rPr>
        <w:b/>
        <w:bCs/>
      </w:rPr>
      <w:tcPr>
        <w:tcBorders>
          <w:top w:val="double" w:color="8EAADB" w:themeColor="accent1" w:themeTint="99" w:sz="2" w:space="0"/>
        </w:tcBorders>
      </w:tcPr>
    </w:tblStylePr>
    <w:tblStylePr w:type="firstCol">
      <w:rPr>
        <w:b/>
        <w:bCs/>
      </w:rPr>
    </w:tblStylePr>
    <w:tblStylePr w:type="lastCol">
      <w:rPr>
        <w:b/>
        <w:bCs/>
      </w:rPr>
    </w:tblStylePr>
  </w:style>
  <w:style w:type="character" w:customStyle="1" w:styleId="34">
    <w:name w:val="页眉 字符"/>
    <w:basedOn w:val="27"/>
    <w:link w:val="16"/>
    <w:uiPriority w:val="0"/>
    <w:rPr>
      <w:sz w:val="18"/>
      <w:szCs w:val="18"/>
    </w:rPr>
  </w:style>
  <w:style w:type="character" w:customStyle="1" w:styleId="35">
    <w:name w:val="页脚 字符"/>
    <w:basedOn w:val="27"/>
    <w:link w:val="15"/>
    <w:uiPriority w:val="0"/>
    <w:rPr>
      <w:sz w:val="18"/>
      <w:szCs w:val="18"/>
    </w:rPr>
  </w:style>
  <w:style w:type="character" w:customStyle="1" w:styleId="36">
    <w:name w:val="未处理的提及1"/>
    <w:basedOn w:val="27"/>
    <w:semiHidden/>
    <w:unhideWhenUsed/>
    <w:uiPriority w:val="99"/>
    <w:rPr>
      <w:color w:val="605E5C"/>
      <w:shd w:val="clear" w:color="auto" w:fill="E1DFDD"/>
    </w:rPr>
  </w:style>
  <w:style w:type="character" w:customStyle="1" w:styleId="37">
    <w:name w:val="标题 2 字符"/>
    <w:basedOn w:val="27"/>
    <w:link w:val="3"/>
    <w:uiPriority w:val="9"/>
    <w:rPr>
      <w:rFonts w:asciiTheme="majorHAnsi" w:hAnsiTheme="majorHAnsi" w:eastAsiaTheme="majorEastAsia" w:cstheme="majorBidi"/>
      <w:b/>
      <w:bCs/>
      <w:sz w:val="32"/>
      <w:szCs w:val="32"/>
    </w:rPr>
  </w:style>
  <w:style w:type="character" w:customStyle="1" w:styleId="38">
    <w:name w:val="正文文本 字符"/>
    <w:basedOn w:val="27"/>
    <w:link w:val="8"/>
    <w:uiPriority w:val="99"/>
    <w:rPr>
      <w:rFonts w:ascii="Calibri" w:hAnsi="Calibri" w:eastAsia="宋体" w:cs="Times New Roman"/>
      <w:szCs w:val="24"/>
    </w:rPr>
  </w:style>
  <w:style w:type="character" w:customStyle="1" w:styleId="39">
    <w:name w:val="标题 3 字符"/>
    <w:basedOn w:val="27"/>
    <w:link w:val="4"/>
    <w:uiPriority w:val="9"/>
    <w:rPr>
      <w:rFonts w:eastAsia="仿宋"/>
      <w:b/>
      <w:bCs/>
      <w:sz w:val="32"/>
      <w:szCs w:val="32"/>
    </w:rPr>
  </w:style>
  <w:style w:type="character" w:customStyle="1" w:styleId="40">
    <w:name w:val="bjh-p"/>
    <w:basedOn w:val="27"/>
    <w:uiPriority w:val="0"/>
  </w:style>
  <w:style w:type="character" w:customStyle="1" w:styleId="41">
    <w:name w:val="bjh-strong"/>
    <w:basedOn w:val="27"/>
    <w:uiPriority w:val="0"/>
  </w:style>
  <w:style w:type="paragraph" w:customStyle="1" w:styleId="42">
    <w:name w:val="_Style 5"/>
    <w:qFormat/>
    <w:uiPriority w:val="0"/>
    <w:pPr>
      <w:widowControl w:val="0"/>
      <w:ind w:firstLine="200" w:firstLineChars="200"/>
      <w:jc w:val="both"/>
    </w:pPr>
    <w:rPr>
      <w:rFonts w:ascii="Times New Roman" w:hAnsi="Times New Roman" w:eastAsia="宋体" w:cs="Times New Roman"/>
      <w:kern w:val="2"/>
      <w:sz w:val="24"/>
      <w:szCs w:val="20"/>
      <w:lang w:val="en-US" w:eastAsia="zh-CN" w:bidi="ar-SA"/>
    </w:rPr>
  </w:style>
  <w:style w:type="table" w:customStyle="1" w:styleId="43">
    <w:name w:val="Grid Table 4 Accent 5"/>
    <w:basedOn w:val="25"/>
    <w:uiPriority w:val="49"/>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14:textFill>
          <w14:solidFill>
            <w14:schemeClr w14:val="bg1"/>
          </w14:solidFill>
        </w14:textFill>
      </w:r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cPr>
        <w:tcBorders>
          <w:top w:val="double" w:color="5B9BD5" w:themeColor="accent5"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44">
    <w:name w:val="Grid Table 4 Accent 1"/>
    <w:basedOn w:val="25"/>
    <w:uiPriority w:val="49"/>
    <w:tblPr>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14:textFill>
          <w14:solidFill>
            <w14:schemeClr w14:val="bg1"/>
          </w14:solidFill>
        </w14:textFill>
      </w:r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cPr>
        <w:tcBorders>
          <w:top w:val="double" w:color="4472C4" w:themeColor="accent1" w:sz="4" w:space="0"/>
        </w:tcBorders>
      </w:tc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character" w:customStyle="1" w:styleId="45">
    <w:name w:val="日期 字符"/>
    <w:basedOn w:val="27"/>
    <w:link w:val="13"/>
    <w:semiHidden/>
    <w:uiPriority w:val="99"/>
    <w:rPr>
      <w:rFonts w:eastAsia="仿宋"/>
      <w:sz w:val="24"/>
    </w:rPr>
  </w:style>
  <w:style w:type="character" w:customStyle="1" w:styleId="46">
    <w:name w:val="Unresolved Mention"/>
    <w:basedOn w:val="27"/>
    <w:semiHidden/>
    <w:unhideWhenUsed/>
    <w:uiPriority w:val="99"/>
    <w:rPr>
      <w:color w:val="605E5C"/>
      <w:shd w:val="clear" w:color="auto" w:fill="E1DFDD"/>
    </w:rPr>
  </w:style>
  <w:style w:type="paragraph" w:customStyle="1" w:styleId="47">
    <w:name w:val="Revision"/>
    <w:hidden/>
    <w:semiHidden/>
    <w:uiPriority w:val="99"/>
    <w:rPr>
      <w:rFonts w:eastAsia="仿宋" w:asciiTheme="minorHAnsi" w:hAnsiTheme="minorHAnsi" w:cstheme="minorBidi"/>
      <w:kern w:val="2"/>
      <w:sz w:val="24"/>
      <w:szCs w:val="22"/>
      <w:lang w:val="en-US" w:eastAsia="zh-CN" w:bidi="ar-SA"/>
    </w:rPr>
  </w:style>
  <w:style w:type="paragraph" w:customStyle="1" w:styleId="48">
    <w:name w:val="a正文"/>
    <w:basedOn w:val="1"/>
    <w:link w:val="49"/>
    <w:qFormat/>
    <w:uiPriority w:val="0"/>
    <w:pPr>
      <w:widowControl/>
      <w:topLinePunct/>
    </w:pPr>
    <w:rPr>
      <w:rFonts w:ascii="Times New Roman" w:hAnsi="Times New Roman"/>
      <w:kern w:val="0"/>
      <w:szCs w:val="24"/>
    </w:rPr>
  </w:style>
  <w:style w:type="character" w:customStyle="1" w:styleId="49">
    <w:name w:val="a正文 Char"/>
    <w:basedOn w:val="27"/>
    <w:link w:val="48"/>
    <w:uiPriority w:val="0"/>
    <w:rPr>
      <w:rFonts w:ascii="Times New Roman" w:hAnsi="Times New Roman" w:eastAsia="仿宋"/>
      <w:kern w:val="0"/>
      <w:sz w:val="24"/>
      <w:szCs w:val="24"/>
    </w:rPr>
  </w:style>
  <w:style w:type="table" w:customStyle="1" w:styleId="50">
    <w:name w:val="Grid Table 6 Colorful Accent 5"/>
    <w:basedOn w:val="25"/>
    <w:uiPriority w:val="51"/>
    <w:rPr>
      <w:color w:val="2E75B6" w:themeColor="accent5" w:themeShade="BF"/>
    </w:rPr>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cPr>
        <w:tcBorders>
          <w:bottom w:val="single" w:color="9CC2E5" w:themeColor="accent5" w:themeTint="99" w:sz="12" w:space="0"/>
        </w:tcBorders>
      </w:tcPr>
    </w:tblStylePr>
    <w:tblStylePr w:type="lastRow">
      <w:rPr>
        <w:b/>
        <w:bCs/>
      </w:rPr>
      <w:tcPr>
        <w:tcBorders>
          <w:top w:val="double" w:color="9CC2E5" w:themeColor="accent5" w:themeTint="99"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paragraph" w:customStyle="1" w:styleId="51">
    <w:name w:val="TOC Heading"/>
    <w:basedOn w:val="2"/>
    <w:next w:val="1"/>
    <w:unhideWhenUsed/>
    <w:qFormat/>
    <w:uiPriority w:val="39"/>
    <w:pPr>
      <w:keepLines/>
      <w:spacing w:before="240" w:line="259" w:lineRule="auto"/>
      <w:outlineLvl w:val="9"/>
    </w:pPr>
    <w:rPr>
      <w:rFonts w:eastAsiaTheme="majorEastAsia" w:cstheme="majorBidi"/>
      <w:b w:val="0"/>
      <w:bCs w:val="0"/>
      <w:color w:val="2F5597" w:themeColor="accent1" w:themeShade="BF"/>
      <w:kern w:val="0"/>
      <w:sz w:val="32"/>
    </w:rPr>
  </w:style>
  <w:style w:type="table" w:customStyle="1" w:styleId="52">
    <w:name w:val="Grid Table 3 Accent 5"/>
    <w:basedOn w:val="25"/>
    <w:qFormat/>
    <w:uiPriority w:val="48"/>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5" w:themeFillTint="33"/>
      </w:tcPr>
    </w:tblStylePr>
    <w:tblStylePr w:type="band1Horz">
      <w:tcPr>
        <w:shd w:val="clear" w:color="auto" w:fill="DEEAF6" w:themeFill="accent5" w:themeFillTint="33"/>
      </w:tcPr>
    </w:tblStylePr>
    <w:tblStylePr w:type="neCell">
      <w:tcPr>
        <w:tcBorders>
          <w:bottom w:val="single" w:color="9CC2E5" w:themeColor="accent5" w:themeTint="99" w:sz="4" w:space="0"/>
        </w:tcBorders>
      </w:tcPr>
    </w:tblStylePr>
    <w:tblStylePr w:type="nwCell">
      <w:tcPr>
        <w:tcBorders>
          <w:bottom w:val="single" w:color="9CC2E5" w:themeColor="accent5" w:themeTint="99" w:sz="4" w:space="0"/>
        </w:tcBorders>
      </w:tcPr>
    </w:tblStylePr>
    <w:tblStylePr w:type="seCell">
      <w:tcPr>
        <w:tcBorders>
          <w:top w:val="single" w:color="9CC2E5" w:themeColor="accent5" w:themeTint="99" w:sz="4" w:space="0"/>
        </w:tcBorders>
      </w:tcPr>
    </w:tblStylePr>
    <w:tblStylePr w:type="swCell">
      <w:tcPr>
        <w:tcBorders>
          <w:top w:val="single" w:color="9CC2E5" w:themeColor="accent5" w:themeTint="99" w:sz="4" w:space="0"/>
        </w:tcBorders>
      </w:tcPr>
    </w:tblStylePr>
  </w:style>
  <w:style w:type="character" w:customStyle="1" w:styleId="53">
    <w:name w:val="正文文本缩进 2 字符"/>
    <w:basedOn w:val="27"/>
    <w:link w:val="14"/>
    <w:semiHidden/>
    <w:qFormat/>
    <w:uiPriority w:val="99"/>
    <w:rPr>
      <w:rFonts w:eastAsia="仿宋"/>
      <w:sz w:val="24"/>
    </w:rPr>
  </w:style>
  <w:style w:type="character" w:customStyle="1" w:styleId="54">
    <w:name w:val="wx_search_keyword_wrap"/>
    <w:basedOn w:val="27"/>
    <w:qFormat/>
    <w:uiPriority w:val="0"/>
  </w:style>
  <w:style w:type="character" w:customStyle="1" w:styleId="55">
    <w:name w:val="标题 4 字符"/>
    <w:basedOn w:val="27"/>
    <w:link w:val="5"/>
    <w:semiHidden/>
    <w:qFormat/>
    <w:uiPriority w:val="9"/>
    <w:rPr>
      <w:rFonts w:asciiTheme="majorHAnsi" w:hAnsiTheme="majorHAnsi" w:eastAsiaTheme="majorEastAsia" w:cstheme="majorBidi"/>
      <w:b/>
      <w:bCs/>
      <w:sz w:val="28"/>
      <w:szCs w:val="28"/>
    </w:rPr>
  </w:style>
  <w:style w:type="table" w:customStyle="1" w:styleId="56">
    <w:name w:val="Grid Table 1 Light Accent 5"/>
    <w:basedOn w:val="25"/>
    <w:qFormat/>
    <w:uiPriority w:val="46"/>
    <w:tblPr>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cPr>
        <w:tcBorders>
          <w:bottom w:val="single" w:color="9CC2E5" w:themeColor="accent5" w:themeTint="99" w:sz="12" w:space="0"/>
        </w:tcBorders>
      </w:tcPr>
    </w:tblStylePr>
    <w:tblStylePr w:type="lastRow">
      <w:rPr>
        <w:b/>
        <w:bCs/>
      </w:rPr>
      <w:tcPr>
        <w:tcBorders>
          <w:top w:val="double" w:color="9CC2E5" w:themeColor="accent5" w:themeTint="99" w:sz="2" w:space="0"/>
        </w:tcBorders>
      </w:tcPr>
    </w:tblStylePr>
    <w:tblStylePr w:type="firstCol">
      <w:rPr>
        <w:b/>
        <w:bCs/>
      </w:rPr>
    </w:tblStylePr>
    <w:tblStylePr w:type="lastCol">
      <w:rPr>
        <w:b/>
        <w:bCs/>
      </w:rPr>
    </w:tblStylePr>
  </w:style>
  <w:style w:type="character" w:customStyle="1" w:styleId="57">
    <w:name w:val="标题 5 字符"/>
    <w:basedOn w:val="27"/>
    <w:link w:val="6"/>
    <w:qFormat/>
    <w:uiPriority w:val="0"/>
    <w:rPr>
      <w:rFonts w:ascii="宋体" w:hAnsi="宋体" w:eastAsia="宋体" w:cs="Times New Roman"/>
      <w:b/>
      <w:bCs/>
      <w:kern w:val="0"/>
      <w:sz w:val="20"/>
      <w:szCs w:val="20"/>
    </w:rPr>
  </w:style>
  <w:style w:type="character" w:customStyle="1" w:styleId="58">
    <w:name w:val="正文文本缩进 字符"/>
    <w:basedOn w:val="27"/>
    <w:link w:val="10"/>
    <w:qFormat/>
    <w:uiPriority w:val="99"/>
    <w:rPr>
      <w:rFonts w:ascii="Calibri" w:hAnsi="Calibri" w:eastAsia="宋体" w:cs="Times New Roman"/>
      <w:szCs w:val="24"/>
    </w:rPr>
  </w:style>
  <w:style w:type="character" w:customStyle="1" w:styleId="59">
    <w:name w:val="副标题 字符"/>
    <w:basedOn w:val="27"/>
    <w:link w:val="18"/>
    <w:qFormat/>
    <w:uiPriority w:val="11"/>
    <w:rPr>
      <w:rFonts w:ascii="宋体" w:hAnsi="宋体" w:eastAsia="方正仿宋_GB2312" w:cs="Times New Roman"/>
      <w:b/>
      <w:bCs/>
      <w:kern w:val="0"/>
      <w:sz w:val="30"/>
      <w:szCs w:val="36"/>
    </w:rPr>
  </w:style>
  <w:style w:type="character" w:customStyle="1" w:styleId="60">
    <w:name w:val="HTML 预设格式 字符"/>
    <w:basedOn w:val="27"/>
    <w:link w:val="20"/>
    <w:qFormat/>
    <w:uiPriority w:val="0"/>
    <w:rPr>
      <w:rFonts w:ascii="宋体" w:hAnsi="宋体" w:eastAsia="宋体" w:cs="Times New Roman"/>
      <w:kern w:val="0"/>
      <w:sz w:val="24"/>
      <w:szCs w:val="24"/>
    </w:rPr>
  </w:style>
  <w:style w:type="character" w:customStyle="1" w:styleId="61">
    <w:name w:val="标题 字符"/>
    <w:basedOn w:val="27"/>
    <w:link w:val="22"/>
    <w:qFormat/>
    <w:uiPriority w:val="10"/>
    <w:rPr>
      <w:rFonts w:ascii="宋体" w:hAnsi="宋体" w:eastAsia="黑体" w:cs="Times New Roman"/>
      <w:bCs/>
      <w:kern w:val="44"/>
      <w:sz w:val="36"/>
      <w:szCs w:val="48"/>
    </w:rPr>
  </w:style>
  <w:style w:type="character" w:customStyle="1" w:styleId="62">
    <w:name w:val="正文文本首行缩进 字符"/>
    <w:basedOn w:val="38"/>
    <w:link w:val="23"/>
    <w:qFormat/>
    <w:uiPriority w:val="0"/>
    <w:rPr>
      <w:rFonts w:ascii="Calibri" w:hAnsi="Calibri" w:eastAsia="宋体" w:cs="Times New Roman"/>
      <w:szCs w:val="24"/>
    </w:rPr>
  </w:style>
  <w:style w:type="character" w:customStyle="1" w:styleId="63">
    <w:name w:val="正文文本首行缩进 2 字符"/>
    <w:basedOn w:val="58"/>
    <w:link w:val="24"/>
    <w:qFormat/>
    <w:uiPriority w:val="99"/>
    <w:rPr>
      <w:rFonts w:ascii="宋体" w:hAnsi="Calibri" w:eastAsia="宋体" w:cs="Times New Roman"/>
      <w:szCs w:val="20"/>
    </w:rPr>
  </w:style>
  <w:style w:type="paragraph" w:customStyle="1" w:styleId="64">
    <w:name w:val="reader-word-layer"/>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Cs w:val="24"/>
    </w:rPr>
  </w:style>
  <w:style w:type="character" w:customStyle="1" w:styleId="65">
    <w:name w:val="font101"/>
    <w:basedOn w:val="27"/>
    <w:qFormat/>
    <w:uiPriority w:val="0"/>
    <w:rPr>
      <w:rFonts w:ascii="方正仿宋_GBK" w:hAnsi="方正仿宋_GBK" w:eastAsia="方正仿宋_GBK" w:cs="方正仿宋_GBK"/>
      <w:color w:val="000000"/>
      <w:sz w:val="24"/>
      <w:szCs w:val="24"/>
      <w:u w:val="none"/>
    </w:rPr>
  </w:style>
  <w:style w:type="paragraph" w:customStyle="1" w:styleId="66">
    <w:name w:val="_Style 16"/>
    <w:basedOn w:val="1"/>
    <w:qFormat/>
    <w:uiPriority w:val="0"/>
    <w:pPr>
      <w:widowControl/>
      <w:spacing w:after="160" w:line="240" w:lineRule="exact"/>
      <w:ind w:firstLine="0" w:firstLineChars="0"/>
      <w:jc w:val="left"/>
    </w:pPr>
    <w:rPr>
      <w:rFonts w:ascii="Arial" w:hAnsi="Arial" w:eastAsia="Times New Roman" w:cs="Verdana"/>
      <w:b/>
      <w:kern w:val="0"/>
      <w:szCs w:val="24"/>
      <w:lang w:eastAsia="en-US"/>
    </w:rPr>
  </w:style>
  <w:style w:type="character" w:customStyle="1" w:styleId="67">
    <w:name w:val="font91"/>
    <w:basedOn w:val="27"/>
    <w:qFormat/>
    <w:uiPriority w:val="0"/>
    <w:rPr>
      <w:rFonts w:hint="eastAsia" w:ascii="方正仿宋_GBK" w:hAnsi="方正仿宋_GBK" w:eastAsia="方正仿宋_GBK" w:cs="方正仿宋_GBK"/>
      <w:color w:val="000000"/>
      <w:sz w:val="24"/>
      <w:szCs w:val="24"/>
      <w:u w:val="none"/>
    </w:rPr>
  </w:style>
  <w:style w:type="character" w:customStyle="1" w:styleId="68">
    <w:name w:val="font111"/>
    <w:basedOn w:val="27"/>
    <w:qFormat/>
    <w:uiPriority w:val="0"/>
    <w:rPr>
      <w:rFonts w:hint="eastAsia" w:ascii="方正仿宋_GBK" w:hAnsi="方正仿宋_GBK" w:eastAsia="方正仿宋_GBK" w:cs="方正仿宋_GBK"/>
      <w:b/>
      <w:color w:val="000000"/>
      <w:sz w:val="24"/>
      <w:szCs w:val="24"/>
      <w:u w:val="none"/>
    </w:rPr>
  </w:style>
  <w:style w:type="character" w:customStyle="1" w:styleId="69">
    <w:name w:val="font51"/>
    <w:basedOn w:val="27"/>
    <w:qFormat/>
    <w:uiPriority w:val="0"/>
    <w:rPr>
      <w:rFonts w:ascii="仿宋" w:hAnsi="仿宋" w:eastAsia="仿宋" w:cs="仿宋"/>
      <w:color w:val="000000"/>
      <w:sz w:val="24"/>
      <w:szCs w:val="24"/>
      <w:u w:val="none"/>
    </w:rPr>
  </w:style>
  <w:style w:type="character" w:customStyle="1" w:styleId="70">
    <w:name w:val="font41"/>
    <w:basedOn w:val="27"/>
    <w:qFormat/>
    <w:uiPriority w:val="0"/>
    <w:rPr>
      <w:rFonts w:hint="eastAsia" w:ascii="仿宋" w:hAnsi="仿宋" w:eastAsia="仿宋" w:cs="仿宋"/>
      <w:b/>
      <w:color w:val="000000"/>
      <w:sz w:val="24"/>
      <w:szCs w:val="24"/>
      <w:u w:val="none"/>
    </w:rPr>
  </w:style>
  <w:style w:type="paragraph" w:customStyle="1" w:styleId="71">
    <w:name w:val="null3"/>
    <w:uiPriority w:val="0"/>
    <w:rPr>
      <w:rFonts w:hint="eastAsia" w:ascii="Calibri" w:hAnsi="Calibri" w:eastAsia="宋体" w:cs="Times New Roman"/>
      <w:kern w:val="0"/>
      <w:sz w:val="20"/>
      <w:szCs w:val="20"/>
      <w:lang w:val="en-US" w:eastAsia="zh-Han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theme" Target="theme/theme1.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98FB22-D9ED-4E42-96B4-6C7121E4702E}">
  <ds:schemaRefs/>
</ds:datastoreItem>
</file>

<file path=docProps/app.xml><?xml version="1.0" encoding="utf-8"?>
<Properties xmlns="http://schemas.openxmlformats.org/officeDocument/2006/extended-properties" xmlns:vt="http://schemas.openxmlformats.org/officeDocument/2006/docPropsVTypes">
  <Template>Normal</Template>
  <Pages>20</Pages>
  <Words>8397</Words>
  <Characters>9305</Characters>
  <Lines>99</Lines>
  <Paragraphs>28</Paragraphs>
  <TotalTime>62</TotalTime>
  <ScaleCrop>false</ScaleCrop>
  <LinksUpToDate>false</LinksUpToDate>
  <CharactersWithSpaces>9490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2025-01-10T08:59:00Z</dcterms:created>
  <dc:creator>微软中国</dc:creator>
  <cp:lastModifiedBy>含泪的微笑</cp:lastModifiedBy>
  <cp:lastPrinted>2024-09-04T06:25:00Z</cp:lastPrinted>
  <dcterms:modified xsi:type="dcterms:W3CDTF">2025-02-10T05:52:45Z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7FAE09B824624EB6BFAE1E7B10DA812C_13</vt:lpwstr>
  </property>
</Properties>
</file>