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F39354">
      <w:pPr>
        <w:ind w:firstLine="562"/>
        <w:jc w:val="center"/>
        <w:rPr>
          <w:rFonts w:hint="eastAsia" w:ascii="仿宋" w:hAnsi="仿宋"/>
          <w:b/>
          <w:bCs/>
          <w:sz w:val="28"/>
          <w:szCs w:val="32"/>
        </w:rPr>
      </w:pPr>
      <w:bookmarkStart w:id="41" w:name="_GoBack"/>
      <w:bookmarkEnd w:id="41"/>
      <w:r>
        <w:rPr>
          <w:rFonts w:ascii="仿宋" w:hAnsi="仿宋"/>
          <w:b/>
          <w:bCs/>
          <w:sz w:val="28"/>
          <w:szCs w:val="32"/>
        </w:rPr>
        <w:drawing>
          <wp:anchor distT="0" distB="0" distL="114300" distR="114300" simplePos="0" relativeHeight="251659264" behindDoc="1" locked="0" layoutInCell="1" allowOverlap="1">
            <wp:simplePos x="0" y="0"/>
            <wp:positionH relativeFrom="column">
              <wp:posOffset>-1297305</wp:posOffset>
            </wp:positionH>
            <wp:positionV relativeFrom="paragraph">
              <wp:posOffset>-1408430</wp:posOffset>
            </wp:positionV>
            <wp:extent cx="7713980" cy="10906760"/>
            <wp:effectExtent l="0" t="0" r="1905"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36432" cy="10938898"/>
                    </a:xfrm>
                    <a:prstGeom prst="rect">
                      <a:avLst/>
                    </a:prstGeom>
                  </pic:spPr>
                </pic:pic>
              </a:graphicData>
            </a:graphic>
          </wp:anchor>
        </w:drawing>
      </w:r>
    </w:p>
    <w:p w14:paraId="4D18DD8D">
      <w:pPr>
        <w:ind w:firstLine="562"/>
        <w:jc w:val="center"/>
        <w:rPr>
          <w:rFonts w:hint="eastAsia" w:ascii="仿宋" w:hAnsi="仿宋"/>
          <w:b/>
          <w:bCs/>
          <w:sz w:val="28"/>
          <w:szCs w:val="32"/>
        </w:rPr>
      </w:pPr>
    </w:p>
    <w:p w14:paraId="4A1E170D">
      <w:pPr>
        <w:ind w:firstLine="562"/>
        <w:jc w:val="center"/>
        <w:rPr>
          <w:rFonts w:hint="eastAsia" w:ascii="仿宋" w:hAnsi="仿宋"/>
          <w:b/>
          <w:bCs/>
          <w:sz w:val="28"/>
          <w:szCs w:val="32"/>
        </w:rPr>
      </w:pPr>
    </w:p>
    <w:p w14:paraId="6031C2C6">
      <w:pPr>
        <w:ind w:firstLine="562"/>
        <w:rPr>
          <w:rFonts w:hint="eastAsia" w:ascii="仿宋" w:hAnsi="仿宋"/>
          <w:b/>
          <w:bCs/>
          <w:sz w:val="28"/>
          <w:szCs w:val="32"/>
        </w:rPr>
      </w:pPr>
    </w:p>
    <w:p w14:paraId="243E238B">
      <w:pPr>
        <w:spacing w:line="1000" w:lineRule="exact"/>
        <w:ind w:firstLine="0" w:firstLineChars="0"/>
        <w:jc w:val="center"/>
        <w:rPr>
          <w:rFonts w:hint="eastAsia" w:ascii="仿宋" w:hAnsi="仿宋"/>
          <w:b/>
          <w:bCs/>
          <w:color w:val="FFFFFF" w:themeColor="background1"/>
          <w:sz w:val="72"/>
          <w:szCs w:val="72"/>
          <w14:textFill>
            <w14:solidFill>
              <w14:schemeClr w14:val="bg1"/>
            </w14:solidFill>
          </w14:textFill>
        </w:rPr>
      </w:pPr>
      <w:bookmarkStart w:id="0" w:name="_Hlk131690023"/>
    </w:p>
    <w:p w14:paraId="7028449B">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hint="eastAsia" w:ascii="微软雅黑" w:hAnsi="微软雅黑" w:eastAsia="微软雅黑"/>
          <w:b/>
          <w:bCs/>
          <w:color w:val="FFFFFF" w:themeColor="background1"/>
          <w:sz w:val="72"/>
          <w:szCs w:val="72"/>
          <w14:textFill>
            <w14:solidFill>
              <w14:schemeClr w14:val="bg1"/>
            </w14:solidFill>
          </w14:textFill>
        </w:rPr>
        <w:t>中国</w:t>
      </w:r>
      <w:r>
        <w:rPr>
          <w:rFonts w:ascii="微软雅黑" w:hAnsi="微软雅黑" w:eastAsia="微软雅黑"/>
          <w:b/>
          <w:bCs/>
          <w:color w:val="FFFFFF" w:themeColor="background1"/>
          <w:sz w:val="72"/>
          <w:szCs w:val="72"/>
          <w14:textFill>
            <w14:solidFill>
              <w14:schemeClr w14:val="bg1"/>
            </w14:solidFill>
          </w14:textFill>
        </w:rPr>
        <w:t>城市轨道交通</w:t>
      </w:r>
    </w:p>
    <w:p w14:paraId="07C8AD2C">
      <w:pPr>
        <w:spacing w:line="1000" w:lineRule="exact"/>
        <w:ind w:firstLine="0" w:firstLineChars="0"/>
        <w:jc w:val="center"/>
        <w:rPr>
          <w:rFonts w:hint="eastAsia" w:ascii="微软雅黑" w:hAnsi="微软雅黑" w:eastAsia="微软雅黑"/>
          <w:b/>
          <w:bCs/>
          <w:color w:val="FFFFFF" w:themeColor="background1"/>
          <w:sz w:val="72"/>
          <w:szCs w:val="72"/>
          <w14:textFill>
            <w14:solidFill>
              <w14:schemeClr w14:val="bg1"/>
            </w14:solidFill>
          </w14:textFill>
        </w:rPr>
      </w:pPr>
      <w:r>
        <w:rPr>
          <w:rFonts w:ascii="微软雅黑" w:hAnsi="微软雅黑" w:eastAsia="微软雅黑"/>
          <w:b/>
          <w:bCs/>
          <w:color w:val="FFFFFF" w:themeColor="background1"/>
          <w:sz w:val="72"/>
          <w:szCs w:val="72"/>
          <w14:textFill>
            <w14:solidFill>
              <w14:schemeClr w14:val="bg1"/>
            </w14:solidFill>
          </w14:textFill>
        </w:rPr>
        <w:t>TOD监测月报</w:t>
      </w:r>
    </w:p>
    <w:p w14:paraId="4F6AC5D9">
      <w:pPr>
        <w:spacing w:line="1000" w:lineRule="exact"/>
        <w:ind w:firstLine="0" w:firstLineChars="0"/>
        <w:jc w:val="center"/>
        <w:rPr>
          <w:rFonts w:hint="eastAsia" w:ascii="微软雅黑" w:hAnsi="微软雅黑" w:eastAsia="微软雅黑"/>
          <w:color w:val="FFFFFF" w:themeColor="background1"/>
          <w:sz w:val="32"/>
          <w:szCs w:val="32"/>
          <w14:textFill>
            <w14:solidFill>
              <w14:schemeClr w14:val="bg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1474" w:footer="992" w:gutter="0"/>
          <w:pgNumType w:start="1"/>
          <w:cols w:space="425" w:num="1"/>
          <w:titlePg/>
          <w:docGrid w:type="lines" w:linePitch="326" w:charSpace="0"/>
        </w:sectPr>
      </w:pPr>
      <w:r>
        <w:rPr>
          <w:rFonts w:ascii="微软雅黑" w:hAnsi="微软雅黑" w:eastAsia="微软雅黑"/>
          <w:color w:val="FFFFFF" w:themeColor="background1"/>
          <w:sz w:val="32"/>
          <w:szCs w:val="32"/>
          <w14:textFill>
            <w14:solidFill>
              <w14:schemeClr w14:val="bg1"/>
            </w14:solidFill>
          </w14:textFill>
        </w:rPr>
        <w:t>（</w:t>
      </w:r>
      <w:bookmarkEnd w:id="0"/>
      <w:r>
        <w:rPr>
          <w:rFonts w:ascii="微软雅黑" w:hAnsi="微软雅黑" w:eastAsia="微软雅黑"/>
          <w:color w:val="FFFFFF" w:themeColor="background1"/>
          <w:sz w:val="32"/>
          <w:szCs w:val="32"/>
          <w14:textFill>
            <w14:solidFill>
              <w14:schemeClr w14:val="bg1"/>
            </w14:solidFill>
          </w14:textFill>
        </w:rPr>
        <w:t>202</w:t>
      </w:r>
      <w:r>
        <w:rPr>
          <w:rFonts w:hint="eastAsia" w:ascii="微软雅黑" w:hAnsi="微软雅黑" w:eastAsia="微软雅黑"/>
          <w:color w:val="FFFFFF" w:themeColor="background1"/>
          <w:sz w:val="32"/>
          <w:szCs w:val="32"/>
          <w14:textFill>
            <w14:solidFill>
              <w14:schemeClr w14:val="bg1"/>
            </w14:solidFill>
          </w14:textFill>
        </w:rPr>
        <w:t>5</w:t>
      </w:r>
      <w:r>
        <w:rPr>
          <w:rFonts w:ascii="微软雅黑" w:hAnsi="微软雅黑" w:eastAsia="微软雅黑"/>
          <w:color w:val="FFFFFF" w:themeColor="background1"/>
          <w:sz w:val="32"/>
          <w:szCs w:val="32"/>
          <w14:textFill>
            <w14:solidFill>
              <w14:schemeClr w14:val="bg1"/>
            </w14:solidFill>
          </w14:textFill>
        </w:rPr>
        <w:t>年</w:t>
      </w:r>
      <w:r>
        <w:rPr>
          <w:rFonts w:hint="eastAsia" w:ascii="微软雅黑" w:hAnsi="微软雅黑" w:eastAsia="微软雅黑"/>
          <w:color w:val="FFFFFF" w:themeColor="background1"/>
          <w:sz w:val="32"/>
          <w:szCs w:val="32"/>
          <w14:textFill>
            <w14:solidFill>
              <w14:schemeClr w14:val="bg1"/>
            </w14:solidFill>
          </w14:textFill>
        </w:rPr>
        <w:t>1</w:t>
      </w:r>
      <w:r>
        <w:rPr>
          <w:rFonts w:ascii="微软雅黑" w:hAnsi="微软雅黑" w:eastAsia="微软雅黑"/>
          <w:color w:val="FFFFFF" w:themeColor="background1"/>
          <w:sz w:val="32"/>
          <w:szCs w:val="32"/>
          <w14:textFill>
            <w14:solidFill>
              <w14:schemeClr w14:val="bg1"/>
            </w14:solidFill>
          </w14:textFill>
        </w:rPr>
        <w:t>月）</w:t>
      </w:r>
    </w:p>
    <w:sdt>
      <w:sdtPr>
        <w:rPr>
          <w:rFonts w:ascii="仿宋" w:hAnsi="仿宋" w:eastAsia="仿宋" w:cstheme="minorBidi"/>
          <w:b/>
          <w:bCs/>
          <w:szCs w:val="22"/>
        </w:rPr>
        <w:id w:val="1723481355"/>
        <w:docPartObj>
          <w:docPartGallery w:val="Table of Contents"/>
          <w:docPartUnique/>
        </w:docPartObj>
      </w:sdtPr>
      <w:sdtEndPr>
        <w:rPr>
          <w:rFonts w:ascii="仿宋" w:hAnsi="仿宋" w:eastAsia="仿宋" w:cstheme="minorBidi"/>
          <w:b w:val="0"/>
          <w:bCs w:val="0"/>
          <w:szCs w:val="22"/>
          <w:lang w:val="zh-CN"/>
        </w:rPr>
      </w:sdtEndPr>
      <w:sdtContent>
        <w:p w14:paraId="62E3343E">
          <w:pPr>
            <w:pStyle w:val="42"/>
            <w:ind w:firstLine="482"/>
            <w:jc w:val="center"/>
            <w:rPr>
              <w:rStyle w:val="49"/>
              <w:rFonts w:hint="eastAsia" w:asciiTheme="minorEastAsia" w:hAnsiTheme="minorEastAsia" w:eastAsiaTheme="minorEastAsia"/>
            </w:rPr>
          </w:pPr>
          <w:bookmarkStart w:id="1" w:name="_Toc166311268"/>
          <w:bookmarkStart w:id="2" w:name="_Toc166095659"/>
          <w:bookmarkStart w:id="3" w:name="_Toc166169574"/>
          <w:r>
            <w:rPr>
              <w:rStyle w:val="49"/>
              <w:rFonts w:asciiTheme="minorEastAsia" w:hAnsiTheme="minorEastAsia" w:eastAsiaTheme="minorEastAsia"/>
            </w:rPr>
            <w:t>目录</w:t>
          </w:r>
          <w:bookmarkEnd w:id="1"/>
          <w:bookmarkEnd w:id="2"/>
          <w:bookmarkEnd w:id="3"/>
        </w:p>
        <w:p w14:paraId="00EB8C5E">
          <w:pPr>
            <w:pStyle w:val="17"/>
            <w:tabs>
              <w:tab w:val="right" w:leader="dot" w:pos="8296"/>
            </w:tabs>
            <w:rPr>
              <w:rFonts w:hint="eastAsia" w:cstheme="minorBidi"/>
              <w:kern w:val="2"/>
              <w:szCs w:val="24"/>
              <w14:ligatures w14:val="standardContextual"/>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"_Toc189920501" </w:instrText>
          </w:r>
          <w:r>
            <w:fldChar w:fldCharType="separate"/>
          </w:r>
          <w:r>
            <w:rPr>
              <w:rStyle w:val="30"/>
              <w:rFonts w:hint="eastAsia" w:ascii="仿宋" w:hAnsi="仿宋"/>
              <w:kern w:val="44"/>
            </w:rPr>
            <w:t>摘要</w:t>
          </w:r>
          <w:r>
            <w:rPr>
              <w:rFonts w:hint="eastAsia"/>
            </w:rPr>
            <w:tab/>
          </w:r>
          <w:r>
            <w:rPr>
              <w:rFonts w:hint="eastAsia"/>
            </w:rPr>
            <w:fldChar w:fldCharType="begin"/>
          </w:r>
          <w:r>
            <w:rPr>
              <w:rFonts w:hint="eastAsia"/>
            </w:rPr>
            <w:instrText xml:space="preserve"> </w:instrText>
          </w:r>
          <w:r>
            <w:instrText xml:space="preserve">PAGEREF _Toc189920501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6774ACE4">
          <w:pPr>
            <w:pStyle w:val="17"/>
            <w:tabs>
              <w:tab w:val="right" w:leader="dot" w:pos="8296"/>
            </w:tabs>
            <w:rPr>
              <w:rFonts w:hint="eastAsia" w:cstheme="minorBidi"/>
              <w:kern w:val="2"/>
              <w:szCs w:val="24"/>
              <w14:ligatures w14:val="standardContextual"/>
            </w:rPr>
          </w:pPr>
          <w:r>
            <w:fldChar w:fldCharType="begin"/>
          </w:r>
          <w:r>
            <w:instrText xml:space="preserve"> HYPERLINK \l "_Toc189920502" </w:instrText>
          </w:r>
          <w:r>
            <w:fldChar w:fldCharType="separate"/>
          </w:r>
          <w:r>
            <w:rPr>
              <w:rStyle w:val="30"/>
              <w:rFonts w:hint="eastAsia" w:ascii="黑体" w:hAnsi="黑体" w:eastAsia="黑体"/>
              <w:kern w:val="44"/>
            </w:rPr>
            <w:t>一、政策动态</w:t>
          </w:r>
          <w:r>
            <w:rPr>
              <w:rFonts w:hint="eastAsia"/>
            </w:rPr>
            <w:tab/>
          </w:r>
          <w:r>
            <w:rPr>
              <w:rFonts w:hint="eastAsia"/>
            </w:rPr>
            <w:fldChar w:fldCharType="begin"/>
          </w:r>
          <w:r>
            <w:rPr>
              <w:rFonts w:hint="eastAsia"/>
            </w:rPr>
            <w:instrText xml:space="preserve"> </w:instrText>
          </w:r>
          <w:r>
            <w:instrText xml:space="preserve">PAGEREF _Toc189920502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02199042">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"_Toc189920503" </w:instrText>
          </w:r>
          <w:r>
            <w:fldChar w:fldCharType="separate"/>
          </w:r>
          <w:r>
            <w:rPr>
              <w:rStyle w:val="30"/>
              <w:rFonts w:hint="eastAsia" w:ascii="仿宋" w:hAnsi="仿宋" w:cs="Arial"/>
              <w:lang w:bidi="ar"/>
            </w:rPr>
            <w:t>1.</w:t>
          </w:r>
          <w:r>
            <w:rPr>
              <w:rFonts w:hint="eastAsia" w:cstheme="minorBidi"/>
              <w:kern w:val="2"/>
              <w:szCs w:val="24"/>
              <w14:ligatures w14:val="standardContextual"/>
            </w:rPr>
            <w:tab/>
          </w:r>
          <w:r>
            <w:rPr>
              <w:rStyle w:val="30"/>
              <w:rFonts w:hint="eastAsia" w:ascii="仿宋" w:hAnsi="仿宋" w:cs="Arial"/>
              <w:shd w:val="clear" w:color="auto" w:fill="FFFFFF"/>
              <w:lang w:bidi="ar"/>
            </w:rPr>
            <w:t>《广州市轨道交通场站综合体建设及周边土地综合开发实施细则》通过</w:t>
          </w:r>
          <w:r>
            <w:rPr>
              <w:rFonts w:hint="eastAsia"/>
            </w:rPr>
            <w:tab/>
          </w:r>
          <w:r>
            <w:rPr>
              <w:rFonts w:hint="eastAsia"/>
            </w:rPr>
            <w:fldChar w:fldCharType="begin"/>
          </w:r>
          <w:r>
            <w:rPr>
              <w:rFonts w:hint="eastAsia"/>
            </w:rPr>
            <w:instrText xml:space="preserve"> </w:instrText>
          </w:r>
          <w:r>
            <w:instrText xml:space="preserve">PAGEREF _Toc189920503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29BFE25C">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"_Toc189920504" </w:instrText>
          </w:r>
          <w:r>
            <w:fldChar w:fldCharType="separate"/>
          </w:r>
          <w:r>
            <w:rPr>
              <w:rStyle w:val="30"/>
              <w:rFonts w:hint="eastAsia" w:ascii="仿宋" w:hAnsi="仿宋" w:cs="Arial"/>
              <w:lang w:bidi="ar"/>
            </w:rPr>
            <w:t>2.</w:t>
          </w:r>
          <w:r>
            <w:rPr>
              <w:rFonts w:hint="eastAsia" w:cstheme="minorBidi"/>
              <w:kern w:val="2"/>
              <w:szCs w:val="24"/>
              <w14:ligatures w14:val="standardContextual"/>
            </w:rPr>
            <w:tab/>
          </w:r>
          <w:r>
            <w:rPr>
              <w:rStyle w:val="30"/>
              <w:rFonts w:hint="eastAsia" w:ascii="仿宋" w:hAnsi="仿宋" w:cs="Arial"/>
              <w:shd w:val="clear" w:color="auto" w:fill="FFFFFF"/>
              <w:lang w:bidi="ar"/>
            </w:rPr>
            <w:t>《东方枢纽及周边地区专项规划（2025-2035年）》获批</w:t>
          </w:r>
          <w:r>
            <w:rPr>
              <w:rFonts w:hint="eastAsia"/>
            </w:rPr>
            <w:tab/>
          </w:r>
          <w:r>
            <w:rPr>
              <w:rFonts w:hint="eastAsia"/>
            </w:rPr>
            <w:fldChar w:fldCharType="begin"/>
          </w:r>
          <w:r>
            <w:rPr>
              <w:rFonts w:hint="eastAsia"/>
            </w:rPr>
            <w:instrText xml:space="preserve"> </w:instrText>
          </w:r>
          <w:r>
            <w:instrText xml:space="preserve">PAGEREF _Toc189920504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415BA79C">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"_Toc189920505" </w:instrText>
          </w:r>
          <w:r>
            <w:fldChar w:fldCharType="separate"/>
          </w:r>
          <w:r>
            <w:rPr>
              <w:rStyle w:val="30"/>
              <w:rFonts w:hint="eastAsia" w:ascii="仿宋" w:hAnsi="仿宋" w:cs="Arial"/>
              <w:lang w:bidi="ar"/>
            </w:rPr>
            <w:t>3.</w:t>
          </w:r>
          <w:r>
            <w:rPr>
              <w:rFonts w:hint="eastAsia" w:cstheme="minorBidi"/>
              <w:kern w:val="2"/>
              <w:szCs w:val="24"/>
              <w14:ligatures w14:val="standardContextual"/>
            </w:rPr>
            <w:tab/>
          </w:r>
          <w:r>
            <w:rPr>
              <w:rStyle w:val="30"/>
              <w:rFonts w:hint="eastAsia" w:ascii="仿宋" w:hAnsi="仿宋" w:cs="Arial"/>
              <w:shd w:val="clear" w:color="auto" w:fill="FFFFFF"/>
              <w:lang w:bidi="ar"/>
            </w:rPr>
            <w:t>北京市政府印发《2025年市政府工作报告重点任务清单》</w:t>
          </w:r>
          <w:r>
            <w:rPr>
              <w:rFonts w:hint="eastAsia"/>
            </w:rPr>
            <w:tab/>
          </w:r>
          <w:r>
            <w:rPr>
              <w:rFonts w:hint="eastAsia"/>
            </w:rPr>
            <w:fldChar w:fldCharType="begin"/>
          </w:r>
          <w:r>
            <w:rPr>
              <w:rFonts w:hint="eastAsia"/>
            </w:rPr>
            <w:instrText xml:space="preserve"> </w:instrText>
          </w:r>
          <w:r>
            <w:instrText xml:space="preserve">PAGEREF _Toc189920505 \h</w:instrText>
          </w:r>
          <w:r>
            <w:rPr>
              <w:rFonts w:hint="eastAsia"/>
            </w:rPr>
            <w:instrText xml:space="preserve"> </w:instrText>
          </w:r>
          <w:r>
            <w:rPr>
              <w:rFonts w:hint="eastAsia"/>
            </w:rPr>
            <w:fldChar w:fldCharType="separate"/>
          </w:r>
          <w:r>
            <w:rPr>
              <w:rFonts w:hint="eastAsia"/>
            </w:rPr>
            <w:t>2</w:t>
          </w:r>
          <w:r>
            <w:rPr>
              <w:rFonts w:hint="eastAsia"/>
            </w:rPr>
            <w:fldChar w:fldCharType="end"/>
          </w:r>
          <w:r>
            <w:rPr>
              <w:rFonts w:hint="eastAsia"/>
            </w:rPr>
            <w:fldChar w:fldCharType="end"/>
          </w:r>
        </w:p>
        <w:p w14:paraId="7439E163">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"_Toc189920506" </w:instrText>
          </w:r>
          <w:r>
            <w:fldChar w:fldCharType="separate"/>
          </w:r>
          <w:r>
            <w:rPr>
              <w:rStyle w:val="30"/>
              <w:rFonts w:hint="eastAsia" w:ascii="仿宋" w:hAnsi="仿宋" w:cs="Arial"/>
              <w:lang w:bidi="ar"/>
            </w:rPr>
            <w:t>4.</w:t>
          </w:r>
          <w:r>
            <w:rPr>
              <w:rFonts w:hint="eastAsia" w:cstheme="minorBidi"/>
              <w:kern w:val="2"/>
              <w:szCs w:val="24"/>
              <w14:ligatures w14:val="standardContextual"/>
            </w:rPr>
            <w:tab/>
          </w:r>
          <w:r>
            <w:rPr>
              <w:rStyle w:val="30"/>
              <w:rFonts w:hint="eastAsia" w:ascii="仿宋" w:hAnsi="仿宋" w:cs="Arial"/>
              <w:shd w:val="clear" w:color="auto" w:fill="FFFFFF"/>
              <w:lang w:bidi="ar"/>
            </w:rPr>
            <w:t>《温州市城市轨道交通线网规划（2021—2035）》公示</w:t>
          </w:r>
          <w:r>
            <w:rPr>
              <w:rFonts w:hint="eastAsia"/>
            </w:rPr>
            <w:tab/>
          </w:r>
          <w:r>
            <w:rPr>
              <w:rFonts w:hint="eastAsia"/>
            </w:rPr>
            <w:fldChar w:fldCharType="begin"/>
          </w:r>
          <w:r>
            <w:rPr>
              <w:rFonts w:hint="eastAsia"/>
            </w:rPr>
            <w:instrText xml:space="preserve"> </w:instrText>
          </w:r>
          <w:r>
            <w:instrText xml:space="preserve">PAGEREF _Toc189920506 \h</w:instrText>
          </w:r>
          <w:r>
            <w:rPr>
              <w:rFonts w:hint="eastAsia"/>
            </w:rPr>
            <w:instrText xml:space="preserve"> </w:instrText>
          </w:r>
          <w:r>
            <w:rPr>
              <w:rFonts w:hint="eastAsia"/>
            </w:rPr>
            <w:fldChar w:fldCharType="separate"/>
          </w:r>
          <w:r>
            <w:rPr>
              <w:rFonts w:hint="eastAsia"/>
            </w:rPr>
            <w:t>3</w:t>
          </w:r>
          <w:r>
            <w:rPr>
              <w:rFonts w:hint="eastAsia"/>
            </w:rPr>
            <w:fldChar w:fldCharType="end"/>
          </w:r>
          <w:r>
            <w:rPr>
              <w:rFonts w:hint="eastAsia"/>
            </w:rPr>
            <w:fldChar w:fldCharType="end"/>
          </w:r>
        </w:p>
        <w:p w14:paraId="6B888B5F">
          <w:pPr>
            <w:pStyle w:val="17"/>
            <w:tabs>
              <w:tab w:val="right" w:leader="dot" w:pos="8296"/>
            </w:tabs>
            <w:rPr>
              <w:rFonts w:hint="eastAsia" w:cstheme="minorBidi"/>
              <w:kern w:val="2"/>
              <w:szCs w:val="24"/>
              <w14:ligatures w14:val="standardContextual"/>
            </w:rPr>
          </w:pPr>
          <w:r>
            <w:fldChar w:fldCharType="begin"/>
          </w:r>
          <w:r>
            <w:instrText xml:space="preserve"> HYPERLINK \l "_Toc189920507" </w:instrText>
          </w:r>
          <w:r>
            <w:fldChar w:fldCharType="separate"/>
          </w:r>
          <w:r>
            <w:rPr>
              <w:rStyle w:val="30"/>
              <w:rFonts w:hint="eastAsia" w:ascii="黑体" w:hAnsi="黑体" w:eastAsia="黑体"/>
              <w:kern w:val="44"/>
            </w:rPr>
            <w:t>二、行业动态</w:t>
          </w:r>
          <w:r>
            <w:rPr>
              <w:rFonts w:hint="eastAsia"/>
            </w:rPr>
            <w:tab/>
          </w:r>
          <w:r>
            <w:rPr>
              <w:rFonts w:hint="eastAsia"/>
            </w:rPr>
            <w:fldChar w:fldCharType="begin"/>
          </w:r>
          <w:r>
            <w:rPr>
              <w:rFonts w:hint="eastAsia"/>
            </w:rPr>
            <w:instrText xml:space="preserve"> </w:instrText>
          </w:r>
          <w:r>
            <w:instrText xml:space="preserve">PAGEREF _Toc189920507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7057B7D1">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"_Toc189920508" </w:instrText>
          </w:r>
          <w:r>
            <w:fldChar w:fldCharType="separate"/>
          </w:r>
          <w:r>
            <w:rPr>
              <w:rStyle w:val="30"/>
              <w:rFonts w:hint="eastAsia" w:ascii="仿宋" w:hAnsi="仿宋" w:cs="Arial"/>
              <w:lang w:bidi="ar"/>
            </w:rPr>
            <w:t>1.</w:t>
          </w:r>
          <w:r>
            <w:rPr>
              <w:rFonts w:hint="eastAsia" w:cstheme="minorBidi"/>
              <w:kern w:val="2"/>
              <w:szCs w:val="24"/>
              <w14:ligatures w14:val="standardContextual"/>
            </w:rPr>
            <w:tab/>
          </w:r>
          <w:r>
            <w:rPr>
              <w:rStyle w:val="30"/>
              <w:rFonts w:hint="eastAsia" w:ascii="仿宋" w:hAnsi="仿宋" w:cs="Arial"/>
              <w:shd w:val="clear" w:color="auto" w:fill="FFFFFF"/>
              <w:lang w:bidi="ar"/>
            </w:rPr>
            <w:t>北京市丰台区中关村丰台园西二区等街区规划出炉，推动站城一体化发展</w:t>
          </w:r>
          <w:r>
            <w:rPr>
              <w:rFonts w:hint="eastAsia"/>
            </w:rPr>
            <w:tab/>
          </w:r>
          <w:r>
            <w:rPr>
              <w:rFonts w:hint="eastAsia"/>
            </w:rPr>
            <w:fldChar w:fldCharType="begin"/>
          </w:r>
          <w:r>
            <w:rPr>
              <w:rFonts w:hint="eastAsia"/>
            </w:rPr>
            <w:instrText xml:space="preserve"> </w:instrText>
          </w:r>
          <w:r>
            <w:instrText xml:space="preserve">PAGEREF _Toc189920508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7033B3F3">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"_Toc189920509" </w:instrText>
          </w:r>
          <w:r>
            <w:fldChar w:fldCharType="separate"/>
          </w:r>
          <w:r>
            <w:rPr>
              <w:rStyle w:val="30"/>
              <w:rFonts w:hint="eastAsia" w:ascii="仿宋" w:hAnsi="仿宋" w:cs="Arial"/>
              <w:lang w:bidi="ar"/>
            </w:rPr>
            <w:t>2.</w:t>
          </w:r>
          <w:r>
            <w:rPr>
              <w:rFonts w:hint="eastAsia" w:cstheme="minorBidi"/>
              <w:kern w:val="2"/>
              <w:szCs w:val="24"/>
              <w14:ligatures w14:val="standardContextual"/>
            </w:rPr>
            <w:tab/>
          </w:r>
          <w:r>
            <w:rPr>
              <w:rStyle w:val="30"/>
              <w:rFonts w:hint="eastAsia" w:ascii="仿宋" w:hAnsi="仿宋" w:cs="Arial"/>
              <w:shd w:val="clear" w:color="auto" w:fill="FFFFFF"/>
              <w:lang w:bidi="ar"/>
            </w:rPr>
            <w:t>武汉天河高铁站站城一体化方案研讨会召开</w:t>
          </w:r>
          <w:r>
            <w:rPr>
              <w:rFonts w:hint="eastAsia"/>
            </w:rPr>
            <w:tab/>
          </w:r>
          <w:r>
            <w:rPr>
              <w:rFonts w:hint="eastAsia"/>
            </w:rPr>
            <w:fldChar w:fldCharType="begin"/>
          </w:r>
          <w:r>
            <w:rPr>
              <w:rFonts w:hint="eastAsia"/>
            </w:rPr>
            <w:instrText xml:space="preserve"> </w:instrText>
          </w:r>
          <w:r>
            <w:instrText xml:space="preserve">PAGEREF _Toc189920509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0A8B6831">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"_Toc189920510" </w:instrText>
          </w:r>
          <w:r>
            <w:fldChar w:fldCharType="separate"/>
          </w:r>
          <w:r>
            <w:rPr>
              <w:rStyle w:val="30"/>
              <w:rFonts w:hint="eastAsia" w:ascii="仿宋" w:hAnsi="仿宋" w:cs="Arial"/>
              <w:lang w:bidi="ar"/>
            </w:rPr>
            <w:t>3.</w:t>
          </w:r>
          <w:r>
            <w:rPr>
              <w:rFonts w:hint="eastAsia" w:cstheme="minorBidi"/>
              <w:kern w:val="2"/>
              <w:szCs w:val="24"/>
              <w14:ligatures w14:val="standardContextual"/>
            </w:rPr>
            <w:tab/>
          </w:r>
          <w:r>
            <w:rPr>
              <w:rStyle w:val="30"/>
              <w:rFonts w:hint="eastAsia" w:ascii="仿宋" w:hAnsi="仿宋" w:cs="Arial"/>
              <w:shd w:val="clear" w:color="auto" w:fill="FFFFFF"/>
              <w:lang w:bidi="ar"/>
            </w:rPr>
            <w:t>国铁集团召开2025年经营开发工作会议，提升铁路土地综合开发水平</w:t>
          </w:r>
          <w:r>
            <w:rPr>
              <w:rFonts w:hint="eastAsia"/>
            </w:rPr>
            <w:tab/>
          </w:r>
          <w:r>
            <w:rPr>
              <w:rFonts w:hint="eastAsia"/>
            </w:rPr>
            <w:fldChar w:fldCharType="begin"/>
          </w:r>
          <w:r>
            <w:rPr>
              <w:rFonts w:hint="eastAsia"/>
            </w:rPr>
            <w:instrText xml:space="preserve"> </w:instrText>
          </w:r>
          <w:r>
            <w:instrText xml:space="preserve">PAGEREF _Toc189920510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2128DD78">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"_Toc189920511" </w:instrText>
          </w:r>
          <w:r>
            <w:fldChar w:fldCharType="separate"/>
          </w:r>
          <w:r>
            <w:rPr>
              <w:rStyle w:val="30"/>
              <w:rFonts w:hint="eastAsia" w:ascii="仿宋" w:hAnsi="仿宋" w:cs="Arial"/>
              <w:lang w:bidi="ar"/>
            </w:rPr>
            <w:t>4.</w:t>
          </w:r>
          <w:r>
            <w:rPr>
              <w:rFonts w:hint="eastAsia" w:cstheme="minorBidi"/>
              <w:kern w:val="2"/>
              <w:szCs w:val="24"/>
              <w14:ligatures w14:val="standardContextual"/>
            </w:rPr>
            <w:tab/>
          </w:r>
          <w:r>
            <w:rPr>
              <w:rStyle w:val="30"/>
              <w:rFonts w:hint="eastAsia" w:ascii="仿宋" w:hAnsi="仿宋" w:cs="Arial"/>
              <w:shd w:val="clear" w:color="auto" w:fill="FFFFFF"/>
              <w:lang w:bidi="ar"/>
            </w:rPr>
            <w:t>雄安新区两项交通强国建设试点任务通过验收</w:t>
          </w:r>
          <w:r>
            <w:rPr>
              <w:rFonts w:hint="eastAsia"/>
            </w:rPr>
            <w:tab/>
          </w:r>
          <w:r>
            <w:rPr>
              <w:rFonts w:hint="eastAsia"/>
            </w:rPr>
            <w:fldChar w:fldCharType="begin"/>
          </w:r>
          <w:r>
            <w:rPr>
              <w:rFonts w:hint="eastAsia"/>
            </w:rPr>
            <w:instrText xml:space="preserve"> </w:instrText>
          </w:r>
          <w:r>
            <w:instrText xml:space="preserve">PAGEREF _Toc189920511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37C50AE1">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"_Toc189920512" </w:instrText>
          </w:r>
          <w:r>
            <w:fldChar w:fldCharType="separate"/>
          </w:r>
          <w:r>
            <w:rPr>
              <w:rStyle w:val="30"/>
              <w:rFonts w:hint="eastAsia" w:ascii="仿宋" w:hAnsi="仿宋" w:cs="Arial"/>
              <w:lang w:bidi="ar"/>
            </w:rPr>
            <w:t>5.</w:t>
          </w:r>
          <w:r>
            <w:rPr>
              <w:rFonts w:hint="eastAsia" w:cstheme="minorBidi"/>
              <w:kern w:val="2"/>
              <w:szCs w:val="24"/>
              <w14:ligatures w14:val="standardContextual"/>
            </w:rPr>
            <w:tab/>
          </w:r>
          <w:r>
            <w:rPr>
              <w:rStyle w:val="30"/>
              <w:rFonts w:hint="eastAsia" w:ascii="仿宋" w:hAnsi="仿宋" w:cs="Arial"/>
              <w:shd w:val="clear" w:color="auto" w:fill="FFFFFF"/>
              <w:lang w:bidi="ar"/>
            </w:rPr>
            <w:t>深圳“三铁”在建里程达598.7公里，2030年覆盖大湾区“一小时通勤圈”</w:t>
          </w:r>
          <w:r>
            <w:rPr>
              <w:rFonts w:hint="eastAsia"/>
            </w:rPr>
            <w:tab/>
          </w:r>
          <w:r>
            <w:rPr>
              <w:rFonts w:hint="eastAsia"/>
            </w:rPr>
            <w:fldChar w:fldCharType="begin"/>
          </w:r>
          <w:r>
            <w:rPr>
              <w:rFonts w:hint="eastAsia"/>
            </w:rPr>
            <w:instrText xml:space="preserve"> </w:instrText>
          </w:r>
          <w:r>
            <w:instrText xml:space="preserve">PAGEREF _Toc189920512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1D3F1BC1">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"_Toc189920513" </w:instrText>
          </w:r>
          <w:r>
            <w:fldChar w:fldCharType="separate"/>
          </w:r>
          <w:r>
            <w:rPr>
              <w:rStyle w:val="30"/>
              <w:rFonts w:hint="eastAsia" w:ascii="仿宋" w:hAnsi="仿宋" w:cs="Arial"/>
              <w:lang w:bidi="ar"/>
            </w:rPr>
            <w:t>6.</w:t>
          </w:r>
          <w:r>
            <w:rPr>
              <w:rFonts w:hint="eastAsia" w:cstheme="minorBidi"/>
              <w:kern w:val="2"/>
              <w:szCs w:val="24"/>
              <w14:ligatures w14:val="standardContextual"/>
            </w:rPr>
            <w:tab/>
          </w:r>
          <w:r>
            <w:rPr>
              <w:rStyle w:val="30"/>
              <w:rFonts w:hint="eastAsia" w:ascii="仿宋" w:hAnsi="仿宋" w:cs="Arial"/>
              <w:shd w:val="clear" w:color="auto" w:fill="FFFFFF"/>
              <w:lang w:bidi="ar"/>
            </w:rPr>
            <w:t>北京优先向轨道交通站点和就业密集地区供应住宅用地</w:t>
          </w:r>
          <w:r>
            <w:rPr>
              <w:rFonts w:hint="eastAsia"/>
            </w:rPr>
            <w:tab/>
          </w:r>
          <w:r>
            <w:rPr>
              <w:rFonts w:hint="eastAsia"/>
            </w:rPr>
            <w:fldChar w:fldCharType="begin"/>
          </w:r>
          <w:r>
            <w:rPr>
              <w:rFonts w:hint="eastAsia"/>
            </w:rPr>
            <w:instrText xml:space="preserve"> </w:instrText>
          </w:r>
          <w:r>
            <w:instrText xml:space="preserve">PAGEREF _Toc189920513 \h</w:instrText>
          </w:r>
          <w:r>
            <w:rPr>
              <w:rFonts w:hint="eastAsia"/>
            </w:rPr>
            <w:instrText xml:space="preserve"> </w:instrText>
          </w:r>
          <w:r>
            <w:rPr>
              <w:rFonts w:hint="eastAsia"/>
            </w:rPr>
            <w:fldChar w:fldCharType="separate"/>
          </w:r>
          <w:r>
            <w:rPr>
              <w:rFonts w:hint="eastAsia"/>
            </w:rPr>
            <w:t>5</w:t>
          </w:r>
          <w:r>
            <w:rPr>
              <w:rFonts w:hint="eastAsia"/>
            </w:rPr>
            <w:fldChar w:fldCharType="end"/>
          </w:r>
          <w:r>
            <w:rPr>
              <w:rFonts w:hint="eastAsia"/>
            </w:rPr>
            <w:fldChar w:fldCharType="end"/>
          </w:r>
        </w:p>
        <w:p w14:paraId="19186F91">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"_Toc189920514" </w:instrText>
          </w:r>
          <w:r>
            <w:fldChar w:fldCharType="separate"/>
          </w:r>
          <w:r>
            <w:rPr>
              <w:rStyle w:val="30"/>
              <w:rFonts w:hint="eastAsia" w:ascii="仿宋" w:hAnsi="仿宋" w:cs="Arial"/>
              <w:lang w:bidi="ar"/>
            </w:rPr>
            <w:t>7.</w:t>
          </w:r>
          <w:r>
            <w:rPr>
              <w:rFonts w:hint="eastAsia" w:cstheme="minorBidi"/>
              <w:kern w:val="2"/>
              <w:szCs w:val="24"/>
              <w14:ligatures w14:val="standardContextual"/>
            </w:rPr>
            <w:tab/>
          </w:r>
          <w:r>
            <w:rPr>
              <w:rStyle w:val="30"/>
              <w:rFonts w:hint="eastAsia" w:ascii="仿宋" w:hAnsi="仿宋" w:cs="Arial"/>
              <w:shd w:val="clear" w:color="auto" w:fill="FFFFFF"/>
              <w:lang w:bidi="ar"/>
            </w:rPr>
            <w:t>2024年12月全国城市轨道交通运营里程达10945.6公里</w:t>
          </w:r>
          <w:r>
            <w:rPr>
              <w:rFonts w:hint="eastAsia"/>
            </w:rPr>
            <w:tab/>
          </w:r>
          <w:r>
            <w:rPr>
              <w:rFonts w:hint="eastAsia"/>
            </w:rPr>
            <w:fldChar w:fldCharType="begin"/>
          </w:r>
          <w:r>
            <w:rPr>
              <w:rFonts w:hint="eastAsia"/>
            </w:rPr>
            <w:instrText xml:space="preserve"> </w:instrText>
          </w:r>
          <w:r>
            <w:instrText xml:space="preserve">PAGEREF _Toc189920514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597CC6D8">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"_Toc189920515" </w:instrText>
          </w:r>
          <w:r>
            <w:fldChar w:fldCharType="separate"/>
          </w:r>
          <w:r>
            <w:rPr>
              <w:rStyle w:val="30"/>
              <w:rFonts w:hint="eastAsia" w:ascii="仿宋" w:hAnsi="仿宋" w:cs="Arial"/>
              <w:lang w:bidi="ar"/>
            </w:rPr>
            <w:t>8.</w:t>
          </w:r>
          <w:r>
            <w:rPr>
              <w:rFonts w:hint="eastAsia" w:cstheme="minorBidi"/>
              <w:kern w:val="2"/>
              <w:szCs w:val="24"/>
              <w14:ligatures w14:val="standardContextual"/>
            </w:rPr>
            <w:tab/>
          </w:r>
          <w:r>
            <w:rPr>
              <w:rStyle w:val="30"/>
              <w:rFonts w:hint="eastAsia" w:ascii="仿宋" w:hAnsi="仿宋" w:cs="Arial"/>
              <w:shd w:val="clear" w:color="auto" w:fill="FFFFFF"/>
              <w:lang w:bidi="ar"/>
            </w:rPr>
            <w:t>上海市推进234公里市域铁路建设</w:t>
          </w:r>
          <w:r>
            <w:rPr>
              <w:rFonts w:hint="eastAsia"/>
            </w:rPr>
            <w:tab/>
          </w:r>
          <w:r>
            <w:rPr>
              <w:rFonts w:hint="eastAsia"/>
            </w:rPr>
            <w:fldChar w:fldCharType="begin"/>
          </w:r>
          <w:r>
            <w:rPr>
              <w:rFonts w:hint="eastAsia"/>
            </w:rPr>
            <w:instrText xml:space="preserve"> </w:instrText>
          </w:r>
          <w:r>
            <w:instrText xml:space="preserve">PAGEREF _Toc189920515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22E53D03">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"_Toc189920516" </w:instrText>
          </w:r>
          <w:r>
            <w:fldChar w:fldCharType="separate"/>
          </w:r>
          <w:r>
            <w:rPr>
              <w:rStyle w:val="30"/>
              <w:rFonts w:hint="eastAsia" w:ascii="仿宋" w:hAnsi="仿宋" w:cs="Arial"/>
              <w:lang w:bidi="ar"/>
            </w:rPr>
            <w:t>9.</w:t>
          </w:r>
          <w:r>
            <w:rPr>
              <w:rFonts w:hint="eastAsia" w:cstheme="minorBidi"/>
              <w:kern w:val="2"/>
              <w:szCs w:val="24"/>
              <w14:ligatures w14:val="standardContextual"/>
            </w:rPr>
            <w:tab/>
          </w:r>
          <w:r>
            <w:rPr>
              <w:rStyle w:val="30"/>
              <w:rFonts w:hint="eastAsia" w:ascii="仿宋" w:hAnsi="仿宋" w:cs="Arial"/>
              <w:shd w:val="clear" w:color="auto" w:fill="FFFFFF"/>
              <w:lang w:bidi="ar"/>
            </w:rPr>
            <w:t>厦门召开公交场站综合开发建设会议</w:t>
          </w:r>
          <w:r>
            <w:rPr>
              <w:rFonts w:hint="eastAsia"/>
            </w:rPr>
            <w:tab/>
          </w:r>
          <w:r>
            <w:rPr>
              <w:rFonts w:hint="eastAsia"/>
            </w:rPr>
            <w:fldChar w:fldCharType="begin"/>
          </w:r>
          <w:r>
            <w:rPr>
              <w:rFonts w:hint="eastAsia"/>
            </w:rPr>
            <w:instrText xml:space="preserve"> </w:instrText>
          </w:r>
          <w:r>
            <w:instrText xml:space="preserve">PAGEREF _Toc189920516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4F626F2F">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"_Toc189920517" </w:instrText>
          </w:r>
          <w:r>
            <w:fldChar w:fldCharType="separate"/>
          </w:r>
          <w:r>
            <w:rPr>
              <w:rStyle w:val="30"/>
              <w:rFonts w:hint="eastAsia" w:ascii="仿宋" w:hAnsi="仿宋" w:cs="Arial"/>
              <w:lang w:bidi="ar"/>
            </w:rPr>
            <w:t>10.</w:t>
          </w:r>
          <w:r>
            <w:rPr>
              <w:rFonts w:hint="eastAsia" w:cstheme="minorBidi"/>
              <w:kern w:val="2"/>
              <w:szCs w:val="24"/>
              <w14:ligatures w14:val="standardContextual"/>
            </w:rPr>
            <w:tab/>
          </w:r>
          <w:r>
            <w:rPr>
              <w:rStyle w:val="30"/>
              <w:rFonts w:hint="eastAsia" w:ascii="仿宋" w:hAnsi="仿宋" w:cs="Arial"/>
              <w:shd w:val="clear" w:color="auto" w:fill="FFFFFF"/>
              <w:lang w:bidi="ar"/>
            </w:rPr>
            <w:t>北京大兴新城芦城地区城中村改造项目规划公示</w:t>
          </w:r>
          <w:r>
            <w:rPr>
              <w:rFonts w:hint="eastAsia"/>
            </w:rPr>
            <w:tab/>
          </w:r>
          <w:r>
            <w:rPr>
              <w:rFonts w:hint="eastAsia"/>
            </w:rPr>
            <w:fldChar w:fldCharType="begin"/>
          </w:r>
          <w:r>
            <w:rPr>
              <w:rFonts w:hint="eastAsia"/>
            </w:rPr>
            <w:instrText xml:space="preserve"> </w:instrText>
          </w:r>
          <w:r>
            <w:instrText xml:space="preserve">PAGEREF _Toc189920517 \h</w:instrText>
          </w:r>
          <w:r>
            <w:rPr>
              <w:rFonts w:hint="eastAsia"/>
            </w:rPr>
            <w:instrText xml:space="preserve"> </w:instrText>
          </w:r>
          <w:r>
            <w:rPr>
              <w:rFonts w:hint="eastAsia"/>
            </w:rPr>
            <w:fldChar w:fldCharType="separate"/>
          </w:r>
          <w:r>
            <w:rPr>
              <w:rFonts w:hint="eastAsia"/>
            </w:rPr>
            <w:t>6</w:t>
          </w:r>
          <w:r>
            <w:rPr>
              <w:rFonts w:hint="eastAsia"/>
            </w:rPr>
            <w:fldChar w:fldCharType="end"/>
          </w:r>
          <w:r>
            <w:rPr>
              <w:rFonts w:hint="eastAsia"/>
            </w:rPr>
            <w:fldChar w:fldCharType="end"/>
          </w:r>
        </w:p>
        <w:p w14:paraId="0E5048C7">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"_Toc189920518" </w:instrText>
          </w:r>
          <w:r>
            <w:fldChar w:fldCharType="separate"/>
          </w:r>
          <w:r>
            <w:rPr>
              <w:rStyle w:val="30"/>
              <w:rFonts w:hint="eastAsia" w:ascii="仿宋" w:hAnsi="仿宋" w:cs="Arial"/>
              <w:lang w:bidi="ar"/>
            </w:rPr>
            <w:t>11.</w:t>
          </w:r>
          <w:r>
            <w:rPr>
              <w:rFonts w:hint="eastAsia" w:cstheme="minorBidi"/>
              <w:kern w:val="2"/>
              <w:szCs w:val="24"/>
              <w14:ligatures w14:val="standardContextual"/>
            </w:rPr>
            <w:tab/>
          </w:r>
          <w:r>
            <w:rPr>
              <w:rStyle w:val="30"/>
              <w:rFonts w:hint="eastAsia" w:ascii="仿宋" w:hAnsi="仿宋" w:cs="Arial"/>
              <w:shd w:val="clear" w:color="auto" w:fill="FFFFFF"/>
              <w:lang w:bidi="ar"/>
            </w:rPr>
            <w:t>宁波市鄞州区下应地段控制性详细规划修编公示</w:t>
          </w:r>
          <w:r>
            <w:rPr>
              <w:rFonts w:hint="eastAsia"/>
            </w:rPr>
            <w:tab/>
          </w:r>
          <w:r>
            <w:rPr>
              <w:rFonts w:hint="eastAsia"/>
            </w:rPr>
            <w:fldChar w:fldCharType="begin"/>
          </w:r>
          <w:r>
            <w:rPr>
              <w:rFonts w:hint="eastAsia"/>
            </w:rPr>
            <w:instrText xml:space="preserve"> </w:instrText>
          </w:r>
          <w:r>
            <w:instrText xml:space="preserve">PAGEREF _Toc189920518 \h</w:instrText>
          </w:r>
          <w:r>
            <w:rPr>
              <w:rFonts w:hint="eastAsia"/>
            </w:rPr>
            <w:instrText xml:space="preserve"> </w:instrText>
          </w:r>
          <w:r>
            <w:rPr>
              <w:rFonts w:hint="eastAsia"/>
            </w:rPr>
            <w:fldChar w:fldCharType="separate"/>
          </w:r>
          <w:r>
            <w:rPr>
              <w:rFonts w:hint="eastAsia"/>
            </w:rPr>
            <w:t>7</w:t>
          </w:r>
          <w:r>
            <w:rPr>
              <w:rFonts w:hint="eastAsia"/>
            </w:rPr>
            <w:fldChar w:fldCharType="end"/>
          </w:r>
          <w:r>
            <w:rPr>
              <w:rFonts w:hint="eastAsia"/>
            </w:rPr>
            <w:fldChar w:fldCharType="end"/>
          </w:r>
        </w:p>
        <w:p w14:paraId="3904A095">
          <w:pPr>
            <w:pStyle w:val="17"/>
            <w:tabs>
              <w:tab w:val="right" w:leader="dot" w:pos="8296"/>
            </w:tabs>
            <w:rPr>
              <w:rFonts w:hint="eastAsia" w:cstheme="minorBidi"/>
              <w:kern w:val="2"/>
              <w:szCs w:val="24"/>
              <w14:ligatures w14:val="standardContextual"/>
            </w:rPr>
          </w:pPr>
          <w:r>
            <w:fldChar w:fldCharType="begin"/>
          </w:r>
          <w:r>
            <w:instrText xml:space="preserve"> HYPERLINK \l "_Toc189920519" </w:instrText>
          </w:r>
          <w:r>
            <w:fldChar w:fldCharType="separate"/>
          </w:r>
          <w:r>
            <w:rPr>
              <w:rStyle w:val="30"/>
              <w:rFonts w:hint="eastAsia" w:ascii="黑体" w:hAnsi="黑体" w:eastAsia="黑体"/>
              <w:kern w:val="44"/>
            </w:rPr>
            <w:t>三、企业动态</w:t>
          </w:r>
          <w:r>
            <w:rPr>
              <w:rFonts w:hint="eastAsia"/>
            </w:rPr>
            <w:tab/>
          </w:r>
          <w:r>
            <w:rPr>
              <w:rFonts w:hint="eastAsia"/>
            </w:rPr>
            <w:fldChar w:fldCharType="begin"/>
          </w:r>
          <w:r>
            <w:rPr>
              <w:rFonts w:hint="eastAsia"/>
            </w:rPr>
            <w:instrText xml:space="preserve"> </w:instrText>
          </w:r>
          <w:r>
            <w:instrText xml:space="preserve">PAGEREF _Toc189920519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01914701">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"_Toc189920520" </w:instrText>
          </w:r>
          <w:r>
            <w:fldChar w:fldCharType="separate"/>
          </w:r>
          <w:r>
            <w:rPr>
              <w:rStyle w:val="30"/>
              <w:rFonts w:hint="eastAsia" w:ascii="仿宋" w:hAnsi="仿宋"/>
              <w:lang w:bidi="ar"/>
            </w:rPr>
            <w:t>1.</w:t>
          </w:r>
          <w:r>
            <w:rPr>
              <w:rFonts w:hint="eastAsia" w:cstheme="minorBidi"/>
              <w:kern w:val="2"/>
              <w:szCs w:val="24"/>
              <w14:ligatures w14:val="standardContextual"/>
            </w:rPr>
            <w:tab/>
          </w:r>
          <w:r>
            <w:rPr>
              <w:rStyle w:val="30"/>
              <w:rFonts w:hint="eastAsia" w:ascii="仿宋" w:hAnsi="仿宋"/>
              <w:shd w:val="clear" w:color="auto" w:fill="FFFFFF"/>
              <w:lang w:bidi="ar"/>
            </w:rPr>
            <w:t>1月青岛成交1幅TOD地块，由金茂、保利、青铁联合获得</w:t>
          </w:r>
          <w:r>
            <w:rPr>
              <w:rFonts w:hint="eastAsia"/>
            </w:rPr>
            <w:tab/>
          </w:r>
          <w:r>
            <w:rPr>
              <w:rFonts w:hint="eastAsia"/>
            </w:rPr>
            <w:fldChar w:fldCharType="begin"/>
          </w:r>
          <w:r>
            <w:rPr>
              <w:rFonts w:hint="eastAsia"/>
            </w:rPr>
            <w:instrText xml:space="preserve"> </w:instrText>
          </w:r>
          <w:r>
            <w:instrText xml:space="preserve">PAGEREF _Toc189920520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3D5DA0CB">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"_Toc189920521" </w:instrText>
          </w:r>
          <w:r>
            <w:fldChar w:fldCharType="separate"/>
          </w:r>
          <w:r>
            <w:rPr>
              <w:rStyle w:val="30"/>
              <w:rFonts w:hint="eastAsia" w:ascii="仿宋" w:hAnsi="仿宋" w:cs="Arial"/>
              <w:lang w:bidi="ar"/>
            </w:rPr>
            <w:t>2.</w:t>
          </w:r>
          <w:r>
            <w:rPr>
              <w:rFonts w:hint="eastAsia" w:cstheme="minorBidi"/>
              <w:kern w:val="2"/>
              <w:szCs w:val="24"/>
              <w14:ligatures w14:val="standardContextual"/>
            </w:rPr>
            <w:tab/>
          </w:r>
          <w:r>
            <w:rPr>
              <w:rStyle w:val="30"/>
              <w:rFonts w:hint="eastAsia" w:ascii="仿宋" w:hAnsi="仿宋" w:cs="Arial"/>
              <w:shd w:val="clear" w:color="auto" w:fill="FFFFFF"/>
              <w:lang w:bidi="ar"/>
            </w:rPr>
            <w:t>南昌轨道分中心收储青山湖区枫下成村项目</w:t>
          </w:r>
          <w:r>
            <w:rPr>
              <w:rFonts w:hint="eastAsia"/>
            </w:rPr>
            <w:tab/>
          </w:r>
          <w:r>
            <w:rPr>
              <w:rFonts w:hint="eastAsia"/>
            </w:rPr>
            <w:fldChar w:fldCharType="begin"/>
          </w:r>
          <w:r>
            <w:rPr>
              <w:rFonts w:hint="eastAsia"/>
            </w:rPr>
            <w:instrText xml:space="preserve"> </w:instrText>
          </w:r>
          <w:r>
            <w:instrText xml:space="preserve">PAGEREF _Toc189920521 \h</w:instrText>
          </w:r>
          <w:r>
            <w:rPr>
              <w:rFonts w:hint="eastAsia"/>
            </w:rPr>
            <w:instrText xml:space="preserve"> </w:instrText>
          </w:r>
          <w:r>
            <w:rPr>
              <w:rFonts w:hint="eastAsia"/>
            </w:rPr>
            <w:fldChar w:fldCharType="separate"/>
          </w:r>
          <w:r>
            <w:rPr>
              <w:rFonts w:hint="eastAsia"/>
            </w:rPr>
            <w:t>8</w:t>
          </w:r>
          <w:r>
            <w:rPr>
              <w:rFonts w:hint="eastAsia"/>
            </w:rPr>
            <w:fldChar w:fldCharType="end"/>
          </w:r>
          <w:r>
            <w:rPr>
              <w:rFonts w:hint="eastAsia"/>
            </w:rPr>
            <w:fldChar w:fldCharType="end"/>
          </w:r>
        </w:p>
        <w:p w14:paraId="4BEE64C3">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"_Toc189920522" </w:instrText>
          </w:r>
          <w:r>
            <w:fldChar w:fldCharType="separate"/>
          </w:r>
          <w:r>
            <w:rPr>
              <w:rStyle w:val="30"/>
              <w:rFonts w:hint="eastAsia" w:ascii="仿宋" w:hAnsi="仿宋"/>
              <w:lang w:bidi="ar"/>
            </w:rPr>
            <w:t>3.</w:t>
          </w:r>
          <w:r>
            <w:rPr>
              <w:rFonts w:hint="eastAsia" w:cstheme="minorBidi"/>
              <w:kern w:val="2"/>
              <w:szCs w:val="24"/>
              <w14:ligatures w14:val="standardContextual"/>
            </w:rPr>
            <w:tab/>
          </w:r>
          <w:r>
            <w:rPr>
              <w:rStyle w:val="30"/>
              <w:rFonts w:hint="eastAsia" w:ascii="仿宋" w:hAnsi="仿宋"/>
              <w:shd w:val="clear" w:color="auto" w:fill="FFFFFF"/>
              <w:lang w:bidi="ar"/>
            </w:rPr>
            <w:t>济南轨道交通集团与合生商业集团签署战略合作协议</w:t>
          </w:r>
          <w:r>
            <w:rPr>
              <w:rFonts w:hint="eastAsia"/>
            </w:rPr>
            <w:tab/>
          </w:r>
          <w:r>
            <w:rPr>
              <w:rFonts w:hint="eastAsia"/>
            </w:rPr>
            <w:fldChar w:fldCharType="begin"/>
          </w:r>
          <w:r>
            <w:rPr>
              <w:rFonts w:hint="eastAsia"/>
            </w:rPr>
            <w:instrText xml:space="preserve"> </w:instrText>
          </w:r>
          <w:r>
            <w:instrText xml:space="preserve">PAGEREF _Toc189920522 \h</w:instrText>
          </w:r>
          <w:r>
            <w:rPr>
              <w:rFonts w:hint="eastAsia"/>
            </w:rPr>
            <w:instrText xml:space="preserve"> </w:instrText>
          </w:r>
          <w:r>
            <w:rPr>
              <w:rFonts w:hint="eastAsia"/>
            </w:rPr>
            <w:fldChar w:fldCharType="separate"/>
          </w:r>
          <w:r>
            <w:rPr>
              <w:rFonts w:hint="eastAsia"/>
            </w:rPr>
            <w:t>9</w:t>
          </w:r>
          <w:r>
            <w:rPr>
              <w:rFonts w:hint="eastAsia"/>
            </w:rPr>
            <w:fldChar w:fldCharType="end"/>
          </w:r>
          <w:r>
            <w:rPr>
              <w:rFonts w:hint="eastAsia"/>
            </w:rPr>
            <w:fldChar w:fldCharType="end"/>
          </w:r>
        </w:p>
        <w:p w14:paraId="139C6A0E">
          <w:pPr>
            <w:pStyle w:val="17"/>
            <w:tabs>
              <w:tab w:val="right" w:leader="dot" w:pos="8296"/>
            </w:tabs>
            <w:rPr>
              <w:rFonts w:hint="eastAsia" w:cstheme="minorBidi"/>
              <w:kern w:val="2"/>
              <w:szCs w:val="24"/>
              <w14:ligatures w14:val="standardContextual"/>
            </w:rPr>
          </w:pPr>
          <w:r>
            <w:fldChar w:fldCharType="begin"/>
          </w:r>
          <w:r>
            <w:instrText xml:space="preserve"> HYPERLINK \l "_Toc189920523" </w:instrText>
          </w:r>
          <w:r>
            <w:fldChar w:fldCharType="separate"/>
          </w:r>
          <w:r>
            <w:rPr>
              <w:rStyle w:val="30"/>
              <w:rFonts w:hint="eastAsia" w:ascii="黑体" w:hAnsi="黑体" w:eastAsia="黑体"/>
              <w:kern w:val="44"/>
            </w:rPr>
            <w:t>四、项目动态</w:t>
          </w:r>
          <w:r>
            <w:rPr>
              <w:rFonts w:hint="eastAsia"/>
            </w:rPr>
            <w:tab/>
          </w:r>
          <w:r>
            <w:rPr>
              <w:rFonts w:hint="eastAsia"/>
            </w:rPr>
            <w:fldChar w:fldCharType="begin"/>
          </w:r>
          <w:r>
            <w:rPr>
              <w:rFonts w:hint="eastAsia"/>
            </w:rPr>
            <w:instrText xml:space="preserve"> </w:instrText>
          </w:r>
          <w:r>
            <w:instrText xml:space="preserve">PAGEREF _Toc189920523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729D4D0F">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"_Toc189920524" </w:instrText>
          </w:r>
          <w:r>
            <w:fldChar w:fldCharType="separate"/>
          </w:r>
          <w:r>
            <w:rPr>
              <w:rStyle w:val="30"/>
              <w:rFonts w:hint="eastAsia" w:ascii="仿宋" w:hAnsi="仿宋" w:cs="Arial"/>
              <w:lang w:bidi="ar"/>
            </w:rPr>
            <w:t>4.</w:t>
          </w:r>
          <w:r>
            <w:rPr>
              <w:rFonts w:hint="eastAsia" w:cstheme="minorBidi"/>
              <w:kern w:val="2"/>
              <w:szCs w:val="24"/>
              <w14:ligatures w14:val="standardContextual"/>
            </w:rPr>
            <w:tab/>
          </w:r>
          <w:r>
            <w:rPr>
              <w:rStyle w:val="30"/>
              <w:rFonts w:hint="eastAsia" w:ascii="仿宋" w:hAnsi="仿宋" w:cs="Arial"/>
              <w:shd w:val="clear" w:color="auto" w:fill="FFFFFF"/>
              <w:lang w:bidi="ar"/>
            </w:rPr>
            <w:t>南京首个公交场站TOD项目亮相</w:t>
          </w:r>
          <w:r>
            <w:rPr>
              <w:rFonts w:hint="eastAsia"/>
            </w:rPr>
            <w:tab/>
          </w:r>
          <w:r>
            <w:rPr>
              <w:rFonts w:hint="eastAsia"/>
            </w:rPr>
            <w:fldChar w:fldCharType="begin"/>
          </w:r>
          <w:r>
            <w:rPr>
              <w:rFonts w:hint="eastAsia"/>
            </w:rPr>
            <w:instrText xml:space="preserve"> </w:instrText>
          </w:r>
          <w:r>
            <w:instrText xml:space="preserve">PAGEREF _Toc189920524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17A23E93">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"_Toc189920525" </w:instrText>
          </w:r>
          <w:r>
            <w:fldChar w:fldCharType="separate"/>
          </w:r>
          <w:r>
            <w:rPr>
              <w:rStyle w:val="30"/>
              <w:rFonts w:hint="eastAsia" w:ascii="仿宋" w:hAnsi="仿宋" w:cs="Arial"/>
              <w:lang w:bidi="ar"/>
            </w:rPr>
            <w:t>5.</w:t>
          </w:r>
          <w:r>
            <w:rPr>
              <w:rFonts w:hint="eastAsia" w:cstheme="minorBidi"/>
              <w:kern w:val="2"/>
              <w:szCs w:val="24"/>
              <w14:ligatures w14:val="standardContextual"/>
            </w:rPr>
            <w:tab/>
          </w:r>
          <w:r>
            <w:rPr>
              <w:rStyle w:val="30"/>
              <w:rFonts w:hint="eastAsia" w:ascii="仿宋" w:hAnsi="仿宋" w:cs="Arial"/>
              <w:shd w:val="clear" w:color="auto" w:fill="FFFFFF"/>
              <w:lang w:bidi="ar"/>
            </w:rPr>
            <w:t>佛山朝东一号地块调规，朝安站上盖住宅改商业</w:t>
          </w:r>
          <w:r>
            <w:rPr>
              <w:rFonts w:hint="eastAsia"/>
            </w:rPr>
            <w:tab/>
          </w:r>
          <w:r>
            <w:rPr>
              <w:rFonts w:hint="eastAsia"/>
            </w:rPr>
            <w:fldChar w:fldCharType="begin"/>
          </w:r>
          <w:r>
            <w:rPr>
              <w:rFonts w:hint="eastAsia"/>
            </w:rPr>
            <w:instrText xml:space="preserve"> </w:instrText>
          </w:r>
          <w:r>
            <w:instrText xml:space="preserve">PAGEREF _Toc189920525 \h</w:instrText>
          </w:r>
          <w:r>
            <w:rPr>
              <w:rFonts w:hint="eastAsia"/>
            </w:rPr>
            <w:instrText xml:space="preserve"> </w:instrText>
          </w:r>
          <w:r>
            <w:rPr>
              <w:rFonts w:hint="eastAsia"/>
            </w:rPr>
            <w:fldChar w:fldCharType="separate"/>
          </w:r>
          <w:r>
            <w:rPr>
              <w:rFonts w:hint="eastAsia"/>
            </w:rPr>
            <w:t>10</w:t>
          </w:r>
          <w:r>
            <w:rPr>
              <w:rFonts w:hint="eastAsia"/>
            </w:rPr>
            <w:fldChar w:fldCharType="end"/>
          </w:r>
          <w:r>
            <w:rPr>
              <w:rFonts w:hint="eastAsia"/>
            </w:rPr>
            <w:fldChar w:fldCharType="end"/>
          </w:r>
        </w:p>
        <w:p w14:paraId="46474646">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"_Toc189920526" </w:instrText>
          </w:r>
          <w:r>
            <w:fldChar w:fldCharType="separate"/>
          </w:r>
          <w:r>
            <w:rPr>
              <w:rStyle w:val="30"/>
              <w:rFonts w:hint="eastAsia" w:ascii="仿宋" w:hAnsi="仿宋" w:cs="Arial"/>
              <w:lang w:bidi="ar"/>
            </w:rPr>
            <w:t>6.</w:t>
          </w:r>
          <w:r>
            <w:rPr>
              <w:rFonts w:hint="eastAsia" w:cstheme="minorBidi"/>
              <w:kern w:val="2"/>
              <w:szCs w:val="24"/>
              <w14:ligatures w14:val="standardContextual"/>
            </w:rPr>
            <w:tab/>
          </w:r>
          <w:r>
            <w:rPr>
              <w:rStyle w:val="30"/>
              <w:rFonts w:hint="eastAsia" w:ascii="仿宋" w:hAnsi="仿宋" w:cs="Arial"/>
              <w:shd w:val="clear" w:color="auto" w:fill="FFFFFF"/>
              <w:lang w:bidi="ar"/>
            </w:rPr>
            <w:t>杭州乔司车辆段上盖低密地块调整公示</w:t>
          </w:r>
          <w:r>
            <w:rPr>
              <w:rFonts w:hint="eastAsia"/>
            </w:rPr>
            <w:tab/>
          </w:r>
          <w:r>
            <w:rPr>
              <w:rFonts w:hint="eastAsia"/>
            </w:rPr>
            <w:fldChar w:fldCharType="begin"/>
          </w:r>
          <w:r>
            <w:rPr>
              <w:rFonts w:hint="eastAsia"/>
            </w:rPr>
            <w:instrText xml:space="preserve"> </w:instrText>
          </w:r>
          <w:r>
            <w:instrText xml:space="preserve">PAGEREF _Toc189920526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375FC019">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"_Toc189920527" </w:instrText>
          </w:r>
          <w:r>
            <w:fldChar w:fldCharType="separate"/>
          </w:r>
          <w:r>
            <w:rPr>
              <w:rStyle w:val="30"/>
              <w:rFonts w:hint="eastAsia" w:ascii="仿宋" w:hAnsi="仿宋" w:cs="Arial"/>
              <w:lang w:bidi="ar"/>
            </w:rPr>
            <w:t>7.</w:t>
          </w:r>
          <w:r>
            <w:rPr>
              <w:rFonts w:hint="eastAsia" w:cstheme="minorBidi"/>
              <w:kern w:val="2"/>
              <w:szCs w:val="24"/>
              <w14:ligatures w14:val="standardContextual"/>
            </w:rPr>
            <w:tab/>
          </w:r>
          <w:r>
            <w:rPr>
              <w:rStyle w:val="30"/>
              <w:rFonts w:hint="eastAsia" w:ascii="仿宋" w:hAnsi="仿宋" w:cs="Arial"/>
              <w:shd w:val="clear" w:color="auto" w:fill="FFFFFF"/>
              <w:lang w:bidi="ar"/>
            </w:rPr>
            <w:t>上海18号线通南路站TOD项目设计方案出炉</w:t>
          </w:r>
          <w:r>
            <w:rPr>
              <w:rFonts w:hint="eastAsia"/>
            </w:rPr>
            <w:tab/>
          </w:r>
          <w:r>
            <w:rPr>
              <w:rFonts w:hint="eastAsia"/>
            </w:rPr>
            <w:fldChar w:fldCharType="begin"/>
          </w:r>
          <w:r>
            <w:rPr>
              <w:rFonts w:hint="eastAsia"/>
            </w:rPr>
            <w:instrText xml:space="preserve"> </w:instrText>
          </w:r>
          <w:r>
            <w:instrText xml:space="preserve">PAGEREF _Toc189920527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6F5962A9">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"_Toc189920528" </w:instrText>
          </w:r>
          <w:r>
            <w:fldChar w:fldCharType="separate"/>
          </w:r>
          <w:r>
            <w:rPr>
              <w:rStyle w:val="30"/>
              <w:rFonts w:hint="eastAsia" w:ascii="仿宋" w:hAnsi="仿宋" w:cs="Arial"/>
              <w:lang w:bidi="ar"/>
            </w:rPr>
            <w:t>8.</w:t>
          </w:r>
          <w:r>
            <w:rPr>
              <w:rFonts w:hint="eastAsia" w:cstheme="minorBidi"/>
              <w:kern w:val="2"/>
              <w:szCs w:val="24"/>
              <w14:ligatures w14:val="standardContextual"/>
            </w:rPr>
            <w:tab/>
          </w:r>
          <w:r>
            <w:rPr>
              <w:rStyle w:val="30"/>
              <w:rFonts w:hint="eastAsia" w:ascii="仿宋" w:hAnsi="仿宋" w:cs="Arial"/>
              <w:shd w:val="clear" w:color="auto" w:fill="FFFFFF"/>
              <w:lang w:bidi="ar"/>
            </w:rPr>
            <w:t>上海东方枢纽上海东站站前区项目规划设计发布</w:t>
          </w:r>
          <w:r>
            <w:rPr>
              <w:rFonts w:hint="eastAsia"/>
            </w:rPr>
            <w:tab/>
          </w:r>
          <w:r>
            <w:rPr>
              <w:rFonts w:hint="eastAsia"/>
            </w:rPr>
            <w:fldChar w:fldCharType="begin"/>
          </w:r>
          <w:r>
            <w:rPr>
              <w:rFonts w:hint="eastAsia"/>
            </w:rPr>
            <w:instrText xml:space="preserve"> </w:instrText>
          </w:r>
          <w:r>
            <w:instrText xml:space="preserve">PAGEREF _Toc189920528 \h</w:instrText>
          </w:r>
          <w:r>
            <w:rPr>
              <w:rFonts w:hint="eastAsia"/>
            </w:rPr>
            <w:instrText xml:space="preserve"> </w:instrText>
          </w:r>
          <w:r>
            <w:rPr>
              <w:rFonts w:hint="eastAsia"/>
            </w:rPr>
            <w:fldChar w:fldCharType="separate"/>
          </w:r>
          <w:r>
            <w:rPr>
              <w:rFonts w:hint="eastAsia"/>
            </w:rPr>
            <w:t>11</w:t>
          </w:r>
          <w:r>
            <w:rPr>
              <w:rFonts w:hint="eastAsia"/>
            </w:rPr>
            <w:fldChar w:fldCharType="end"/>
          </w:r>
          <w:r>
            <w:rPr>
              <w:rFonts w:hint="eastAsia"/>
            </w:rPr>
            <w:fldChar w:fldCharType="end"/>
          </w:r>
        </w:p>
        <w:p w14:paraId="532AD698">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"_Toc189920529" </w:instrText>
          </w:r>
          <w:r>
            <w:fldChar w:fldCharType="separate"/>
          </w:r>
          <w:r>
            <w:rPr>
              <w:rStyle w:val="30"/>
              <w:rFonts w:hint="eastAsia" w:ascii="仿宋" w:hAnsi="仿宋" w:cs="Arial"/>
              <w:lang w:bidi="ar"/>
            </w:rPr>
            <w:t>9.</w:t>
          </w:r>
          <w:r>
            <w:rPr>
              <w:rFonts w:hint="eastAsia" w:cstheme="minorBidi"/>
              <w:kern w:val="2"/>
              <w:szCs w:val="24"/>
              <w14:ligatures w14:val="standardContextual"/>
            </w:rPr>
            <w:tab/>
          </w:r>
          <w:r>
            <w:rPr>
              <w:rStyle w:val="30"/>
              <w:rFonts w:hint="eastAsia" w:ascii="仿宋" w:hAnsi="仿宋" w:cs="Arial"/>
              <w:shd w:val="clear" w:color="auto" w:fill="FFFFFF"/>
              <w:lang w:bidi="ar"/>
            </w:rPr>
            <w:t>杭州海潮TOD地块规划调整</w:t>
          </w:r>
          <w:r>
            <w:rPr>
              <w:rFonts w:hint="eastAsia"/>
            </w:rPr>
            <w:tab/>
          </w:r>
          <w:r>
            <w:rPr>
              <w:rFonts w:hint="eastAsia"/>
            </w:rPr>
            <w:fldChar w:fldCharType="begin"/>
          </w:r>
          <w:r>
            <w:rPr>
              <w:rFonts w:hint="eastAsia"/>
            </w:rPr>
            <w:instrText xml:space="preserve"> </w:instrText>
          </w:r>
          <w:r>
            <w:instrText xml:space="preserve">PAGEREF _Toc189920529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2D775FF5">
          <w:pPr>
            <w:pStyle w:val="17"/>
            <w:tabs>
              <w:tab w:val="left" w:pos="660"/>
              <w:tab w:val="right" w:leader="dot" w:pos="8296"/>
            </w:tabs>
            <w:rPr>
              <w:rFonts w:hint="eastAsia" w:cstheme="minorBidi"/>
              <w:kern w:val="2"/>
              <w:szCs w:val="24"/>
              <w14:ligatures w14:val="standardContextual"/>
            </w:rPr>
          </w:pPr>
          <w:r>
            <w:fldChar w:fldCharType="begin"/>
          </w:r>
          <w:r>
            <w:instrText xml:space="preserve"> HYPERLINK \l "_Toc189920530" </w:instrText>
          </w:r>
          <w:r>
            <w:fldChar w:fldCharType="separate"/>
          </w:r>
          <w:r>
            <w:rPr>
              <w:rStyle w:val="30"/>
              <w:rFonts w:hint="eastAsia" w:ascii="仿宋" w:hAnsi="仿宋" w:cs="Arial"/>
              <w:lang w:bidi="ar"/>
            </w:rPr>
            <w:t>10.</w:t>
          </w:r>
          <w:r>
            <w:rPr>
              <w:rFonts w:hint="eastAsia" w:cstheme="minorBidi"/>
              <w:kern w:val="2"/>
              <w:szCs w:val="24"/>
              <w14:ligatures w14:val="standardContextual"/>
            </w:rPr>
            <w:tab/>
          </w:r>
          <w:r>
            <w:rPr>
              <w:rStyle w:val="30"/>
              <w:rFonts w:hint="eastAsia" w:ascii="仿宋" w:hAnsi="仿宋" w:cs="Arial"/>
              <w:shd w:val="clear" w:color="auto" w:fill="FFFFFF"/>
              <w:lang w:bidi="ar"/>
            </w:rPr>
            <w:t>上海一二八纪念路站地铁上盖TOD地块设计公示</w:t>
          </w:r>
          <w:r>
            <w:rPr>
              <w:rFonts w:hint="eastAsia"/>
            </w:rPr>
            <w:tab/>
          </w:r>
          <w:r>
            <w:rPr>
              <w:rFonts w:hint="eastAsia"/>
            </w:rPr>
            <w:fldChar w:fldCharType="begin"/>
          </w:r>
          <w:r>
            <w:rPr>
              <w:rFonts w:hint="eastAsia"/>
            </w:rPr>
            <w:instrText xml:space="preserve"> </w:instrText>
          </w:r>
          <w:r>
            <w:instrText xml:space="preserve">PAGEREF _Toc189920530 \h</w:instrText>
          </w:r>
          <w:r>
            <w:rPr>
              <w:rFonts w:hint="eastAsia"/>
            </w:rPr>
            <w:instrText xml:space="preserve"> </w:instrText>
          </w:r>
          <w:r>
            <w:rPr>
              <w:rFonts w:hint="eastAsia"/>
            </w:rPr>
            <w:fldChar w:fldCharType="separate"/>
          </w:r>
          <w:r>
            <w:rPr>
              <w:rFonts w:hint="eastAsia"/>
            </w:rPr>
            <w:t>12</w:t>
          </w:r>
          <w:r>
            <w:rPr>
              <w:rFonts w:hint="eastAsia"/>
            </w:rPr>
            <w:fldChar w:fldCharType="end"/>
          </w:r>
          <w:r>
            <w:rPr>
              <w:rFonts w:hint="eastAsia"/>
            </w:rPr>
            <w:fldChar w:fldCharType="end"/>
          </w:r>
        </w:p>
        <w:p w14:paraId="2F211941">
          <w:pPr>
            <w:ind w:firstLine="482"/>
            <w:rPr>
              <w:rFonts w:hint="eastAsia" w:ascii="仿宋" w:hAnsi="仿宋"/>
            </w:rPr>
            <w:sectPr>
              <w:headerReference r:id="rId11" w:type="default"/>
              <w:pgSz w:w="11906" w:h="16838"/>
              <w:pgMar w:top="1440" w:right="1800" w:bottom="1440" w:left="1800" w:header="1474" w:footer="964" w:gutter="0"/>
              <w:pgNumType w:start="1"/>
              <w:cols w:space="425" w:num="1"/>
              <w:docGrid w:type="lines" w:linePitch="326" w:charSpace="0"/>
            </w:sectPr>
          </w:pPr>
          <w:r>
            <w:rPr>
              <w:rFonts w:ascii="仿宋" w:hAnsi="仿宋"/>
              <w:b/>
              <w:bCs/>
              <w:lang w:val="zh-CN"/>
            </w:rPr>
            <w:fldChar w:fldCharType="end"/>
          </w:r>
        </w:p>
      </w:sdtContent>
    </w:sdt>
    <w:p w14:paraId="033B981B">
      <w:pPr>
        <w:spacing w:before="163" w:beforeLines="50" w:after="163" w:afterLines="50"/>
        <w:ind w:firstLine="480"/>
        <w:rPr>
          <w:rFonts w:hint="eastAsia" w:ascii="仿宋" w:hAnsi="仿宋"/>
          <w:szCs w:val="36"/>
        </w:rPr>
      </w:pPr>
      <w:r>
        <w:rPr>
          <w:rFonts w:hint="eastAsia" w:ascii="仿宋" w:hAnsi="仿宋"/>
          <w:szCs w:val="36"/>
        </w:rPr>
        <w:t>《中国城市轨道交通</w:t>
      </w:r>
      <w:r>
        <w:rPr>
          <w:rFonts w:ascii="仿宋" w:hAnsi="仿宋"/>
          <w:szCs w:val="36"/>
        </w:rPr>
        <w:t>TOD监测月报》是由上海易居房地产研究院与中国国土经济学会国土交通综合规划与开发（TOD）专业委员会共同研发，旨在以动态的眼光、全面的视角跟踪全国及各城市TOD政策及行业动向，地铁公司和典型房企的TOD土地成交和项目动态，进而了解并研判行业发展的新政策、新动态和新方向。</w:t>
      </w:r>
    </w:p>
    <w:p w14:paraId="20470825">
      <w:pPr>
        <w:pStyle w:val="2"/>
        <w:keepLines/>
        <w:widowControl w:val="0"/>
        <w:spacing w:before="163" w:after="163"/>
        <w:ind w:firstLine="562"/>
        <w:jc w:val="center"/>
        <w:rPr>
          <w:rFonts w:hint="eastAsia" w:ascii="仿宋" w:hAnsi="仿宋" w:cs="Times New Roman"/>
          <w:color w:val="5B9BD5" w:themeColor="accent5"/>
          <w:kern w:val="44"/>
          <w:sz w:val="28"/>
          <w14:textFill>
            <w14:solidFill>
              <w14:schemeClr w14:val="accent5"/>
            </w14:solidFill>
          </w14:textFill>
        </w:rPr>
      </w:pPr>
      <w:bookmarkStart w:id="4" w:name="_Toc166169573"/>
      <w:bookmarkStart w:id="5" w:name="_Toc189920501"/>
      <w:bookmarkStart w:id="6" w:name="_Toc166095658"/>
      <w:r>
        <w:rPr>
          <w:rFonts w:ascii="仿宋" w:hAnsi="仿宋"/>
          <w:b w:val="0"/>
          <w:bCs w:val="0"/>
        </w:rPr>
        <mc:AlternateContent>
          <mc:Choice Requires="wps">
            <w:drawing>
              <wp:anchor distT="118745" distB="118745" distL="114300" distR="114300" simplePos="0" relativeHeight="251665408" behindDoc="0" locked="0" layoutInCell="0" allowOverlap="1">
                <wp:simplePos x="0" y="0"/>
                <wp:positionH relativeFrom="margin">
                  <wp:posOffset>-31750</wp:posOffset>
                </wp:positionH>
                <wp:positionV relativeFrom="page">
                  <wp:posOffset>3460750</wp:posOffset>
                </wp:positionV>
                <wp:extent cx="5303520" cy="4908550"/>
                <wp:effectExtent l="0" t="0" r="0" b="6350"/>
                <wp:wrapSquare wrapText="bothSides"/>
                <wp:docPr id="6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03520" cy="4908550"/>
                        </a:xfrm>
                        <a:prstGeom prst="rect">
                          <a:avLst/>
                        </a:prstGeom>
                        <a:solidFill>
                          <a:schemeClr val="accent1">
                            <a:lumMod val="20000"/>
                            <a:lumOff val="80000"/>
                          </a:schemeClr>
                        </a:solidFill>
                      </wps:spPr>
                      <wps:txbx>
                        <w:txbxContent>
                          <w:p w14:paraId="44DB29DA">
                            <w:pPr>
                              <w:pStyle w:val="32"/>
                              <w:ind w:left="0" w:firstLine="480"/>
                              <w:jc w:val="both"/>
                              <w:rPr>
                                <w:rFonts w:hint="eastAsia" w:ascii="仿宋" w:hAnsi="仿宋"/>
                                <w:szCs w:val="28"/>
                              </w:rPr>
                            </w:pPr>
                            <w:r>
                              <w:rPr>
                                <w:rFonts w:hint="eastAsia" w:ascii="仿宋" w:hAnsi="仿宋"/>
                                <w:szCs w:val="28"/>
                              </w:rPr>
                              <w:t>2025年1月，中国城市轨道交通TOD领域迎来多项重要进展。</w:t>
                            </w:r>
                          </w:p>
                          <w:p w14:paraId="4DDA84EE">
                            <w:pPr>
                              <w:pStyle w:val="32"/>
                              <w:ind w:left="0" w:firstLine="480"/>
                              <w:jc w:val="both"/>
                              <w:rPr>
                                <w:rFonts w:hint="eastAsia" w:ascii="仿宋" w:hAnsi="仿宋"/>
                                <w:szCs w:val="28"/>
                              </w:rPr>
                            </w:pPr>
                            <w:r>
                              <w:rPr>
                                <w:rFonts w:hint="eastAsia" w:ascii="仿宋" w:hAnsi="仿宋"/>
                                <w:szCs w:val="28"/>
                              </w:rPr>
                              <w:t>政策层面，广州、上海、北京、温州等地相继出台或公示了与轨道交通相关的规划和实施细则，推动站城融合、优化交通结构、鼓励社会资本参与。</w:t>
                            </w:r>
                          </w:p>
                          <w:p w14:paraId="0D003FB4">
                            <w:pPr>
                              <w:pStyle w:val="32"/>
                              <w:ind w:left="0" w:firstLine="480"/>
                              <w:jc w:val="both"/>
                              <w:rPr>
                                <w:rFonts w:hint="eastAsia" w:ascii="仿宋" w:hAnsi="仿宋"/>
                                <w:szCs w:val="28"/>
                              </w:rPr>
                            </w:pPr>
                            <w:r>
                              <w:rPr>
                                <w:rFonts w:hint="eastAsia" w:ascii="仿宋" w:hAnsi="仿宋"/>
                                <w:szCs w:val="28"/>
                              </w:rPr>
                              <w:t>行业层面，多个城市积极推进站城一体化项目，北京丰台、武汉天河高铁站、宁波鄞州区等地围绕轨道交通站点进行规划，促进职住平衡，提升城市功能品质。国铁集团召开2025年经营开发工作会议，强调提升铁路土地综合开发水平，深圳加快“三铁”建设，力争2030年覆盖大湾区“一小时通勤圈”。</w:t>
                            </w:r>
                          </w:p>
                          <w:p w14:paraId="00793C25">
                            <w:pPr>
                              <w:pStyle w:val="32"/>
                              <w:ind w:left="0" w:firstLine="480"/>
                              <w:jc w:val="both"/>
                              <w:rPr>
                                <w:rFonts w:hint="eastAsia" w:ascii="仿宋" w:hAnsi="仿宋"/>
                                <w:szCs w:val="28"/>
                              </w:rPr>
                            </w:pPr>
                            <w:r>
                              <w:rPr>
                                <w:rFonts w:hint="eastAsia" w:ascii="仿宋" w:hAnsi="仿宋"/>
                                <w:szCs w:val="28"/>
                              </w:rPr>
                              <w:t>企业层面，青岛成交1幅TOD地块，由金茂、保利、青铁联合开发；济南轨道交通集团与合生商业集团签署战略合作协议，共同推动TOD产业发展。</w:t>
                            </w:r>
                          </w:p>
                          <w:p w14:paraId="0BBCC132">
                            <w:pPr>
                              <w:pStyle w:val="32"/>
                              <w:ind w:left="0" w:firstLine="480"/>
                              <w:jc w:val="both"/>
                              <w:rPr>
                                <w:rFonts w:hint="eastAsia"/>
                              </w:rPr>
                            </w:pPr>
                            <w:r>
                              <w:rPr>
                                <w:rFonts w:hint="eastAsia" w:ascii="仿宋" w:hAnsi="仿宋"/>
                                <w:szCs w:val="28"/>
                              </w:rPr>
                              <w:t>项目层面，南京首个公交场站TOD项目亮相，佛山、南昌、杭州、上海等地多个TOD项目调整规划或发布设计方案，涵盖住宅、商业、办公等多种业态，旨在提升区域生活品质和城市空间利用效率。</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5pt;margin-top:272.5pt;height:386.5pt;width:417.6pt;mso-position-horizontal-relative:margin;mso-position-vertical-relative:page;mso-wrap-distance-bottom:9.35pt;mso-wrap-distance-left:9pt;mso-wrap-distance-right:9pt;mso-wrap-distance-top:9.35pt;z-index:251665408;mso-width-relative:page;mso-height-relative:page;" fillcolor="#DAE3F3 [660]" filled="t" stroked="f" coordsize="21600,21600" o:allowincell="f" o:gfxdata="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YUn+nZAAAACwEAAA8AAAAAAAAAAQAgAAAAIgAA&#10;AGRycy9kb3ducmV2LnhtbFBLAQIUABQAAAAIAIdO4kA70RQ/QAIAAGIEAAAOAAAAAAAAAAEAIAAA&#10;ACgBAABkcnMvZTJvRG9jLnhtbFBLBQYAAAAABgAGAFkBAADaBQAAAAA=&#10;">
                <v:fill on="t" focussize="0,0"/>
                <v:stroke on="f"/>
                <v:imagedata o:title=""/>
                <o:lock v:ext="edit" aspectratio="f"/>
                <v:textbox>
                  <w:txbxContent>
                    <w:p w14:paraId="44DB29DA">
                      <w:pPr>
                        <w:pStyle w:val="32"/>
                        <w:ind w:left="0" w:firstLine="480"/>
                        <w:jc w:val="both"/>
                        <w:rPr>
                          <w:rFonts w:hint="eastAsia" w:ascii="仿宋" w:hAnsi="仿宋"/>
                          <w:szCs w:val="28"/>
                        </w:rPr>
                      </w:pPr>
                      <w:r>
                        <w:rPr>
                          <w:rFonts w:hint="eastAsia" w:ascii="仿宋" w:hAnsi="仿宋"/>
                          <w:szCs w:val="28"/>
                        </w:rPr>
                        <w:t>2025年1月，中国城市轨道交通TOD领域迎来多项重要进展。</w:t>
                      </w:r>
                    </w:p>
                    <w:p w14:paraId="4DDA84EE">
                      <w:pPr>
                        <w:pStyle w:val="32"/>
                        <w:ind w:left="0" w:firstLine="480"/>
                        <w:jc w:val="both"/>
                        <w:rPr>
                          <w:rFonts w:hint="eastAsia" w:ascii="仿宋" w:hAnsi="仿宋"/>
                          <w:szCs w:val="28"/>
                        </w:rPr>
                      </w:pPr>
                      <w:r>
                        <w:rPr>
                          <w:rFonts w:hint="eastAsia" w:ascii="仿宋" w:hAnsi="仿宋"/>
                          <w:szCs w:val="28"/>
                        </w:rPr>
                        <w:t>政策层面，广州、上海、北京、温州等地相继出台或公示了与轨道交通相关的规划和实施细则，推动站城融合、优化交通结构、鼓励社会资本参与。</w:t>
                      </w:r>
                    </w:p>
                    <w:p w14:paraId="0D003FB4">
                      <w:pPr>
                        <w:pStyle w:val="32"/>
                        <w:ind w:left="0" w:firstLine="480"/>
                        <w:jc w:val="both"/>
                        <w:rPr>
                          <w:rFonts w:hint="eastAsia" w:ascii="仿宋" w:hAnsi="仿宋"/>
                          <w:szCs w:val="28"/>
                        </w:rPr>
                      </w:pPr>
                      <w:r>
                        <w:rPr>
                          <w:rFonts w:hint="eastAsia" w:ascii="仿宋" w:hAnsi="仿宋"/>
                          <w:szCs w:val="28"/>
                        </w:rPr>
                        <w:t>行业层面，多个城市积极推进站城一体化项目，北京丰台、武汉天河高铁站、宁波鄞州区等地围绕轨道交通站点进行规划，促进职住平衡，提升城市功能品质。国铁集团召开2025年经营开发工作会议，强调提升铁路土地综合开发水平，深圳加快“三铁”建设，力争2030年覆盖大湾区“一小时通勤圈”。</w:t>
                      </w:r>
                    </w:p>
                    <w:p w14:paraId="00793C25">
                      <w:pPr>
                        <w:pStyle w:val="32"/>
                        <w:ind w:left="0" w:firstLine="480"/>
                        <w:jc w:val="both"/>
                        <w:rPr>
                          <w:rFonts w:hint="eastAsia" w:ascii="仿宋" w:hAnsi="仿宋"/>
                          <w:szCs w:val="28"/>
                        </w:rPr>
                      </w:pPr>
                      <w:r>
                        <w:rPr>
                          <w:rFonts w:hint="eastAsia" w:ascii="仿宋" w:hAnsi="仿宋"/>
                          <w:szCs w:val="28"/>
                        </w:rPr>
                        <w:t>企业层面，青岛成交1幅TOD地块，由金茂、保利、青铁联合开发；济南轨道交通集团与合生商业集团签署战略合作协议，共同推动TOD产业发展。</w:t>
                      </w:r>
                    </w:p>
                    <w:p w14:paraId="0BBCC132">
                      <w:pPr>
                        <w:pStyle w:val="32"/>
                        <w:ind w:left="0" w:firstLine="480"/>
                        <w:jc w:val="both"/>
                        <w:rPr>
                          <w:rFonts w:hint="eastAsia"/>
                        </w:rPr>
                      </w:pPr>
                      <w:r>
                        <w:rPr>
                          <w:rFonts w:hint="eastAsia" w:ascii="仿宋" w:hAnsi="仿宋"/>
                          <w:szCs w:val="28"/>
                        </w:rPr>
                        <w:t>项目层面，南京首个公交场站TOD项目亮相，佛山、南昌、杭州、上海等地多个TOD项目调整规划或发布设计方案，涵盖住宅、商业、办公等多种业态，旨在提升区域生活品质和城市空间利用效率。</w:t>
                      </w:r>
                    </w:p>
                  </w:txbxContent>
                </v:textbox>
                <w10:wrap type="square"/>
              </v:shape>
            </w:pict>
          </mc:Fallback>
        </mc:AlternateContent>
      </w:r>
      <w:r>
        <w:rPr>
          <w:rFonts w:ascii="仿宋" w:hAnsi="仿宋" w:cs="Times New Roman"/>
          <w:color w:val="5B9BD5" w:themeColor="accent5"/>
          <w:kern w:val="44"/>
          <w:sz w:val="28"/>
          <w14:textFill>
            <w14:solidFill>
              <w14:schemeClr w14:val="accent5"/>
            </w14:solidFill>
          </w14:textFill>
        </w:rPr>
        <w:t>摘要</w:t>
      </w:r>
      <w:bookmarkEnd w:id="4"/>
      <w:bookmarkEnd w:id="5"/>
      <w:bookmarkEnd w:id="6"/>
    </w:p>
    <w:p w14:paraId="0BC3097A">
      <w:pPr>
        <w:pStyle w:val="48"/>
        <w:ind w:firstLine="480"/>
        <w:rPr>
          <w:rFonts w:hint="eastAsia" w:ascii="仿宋" w:hAnsi="仿宋"/>
        </w:rPr>
        <w:sectPr>
          <w:pgSz w:w="11906" w:h="16838"/>
          <w:pgMar w:top="1440" w:right="1800" w:bottom="1440" w:left="1800" w:header="1474" w:footer="964" w:gutter="0"/>
          <w:pgNumType w:start="1"/>
          <w:cols w:space="425" w:num="1"/>
          <w:docGrid w:type="lines" w:linePitch="326" w:charSpace="0"/>
        </w:sectPr>
      </w:pPr>
    </w:p>
    <w:p w14:paraId="08517FA2">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7" w:name="_Toc189920502"/>
      <w:r>
        <w:rPr>
          <w:rFonts w:hint="eastAsia" w:ascii="黑体" w:hAnsi="黑体" w:eastAsia="黑体" w:cs="Times New Roman"/>
          <w:color w:val="5B9BD5" w:themeColor="accent5"/>
          <w:kern w:val="44"/>
          <w:sz w:val="28"/>
          <w14:textFill>
            <w14:solidFill>
              <w14:schemeClr w14:val="accent5"/>
            </w14:solidFill>
          </w14:textFill>
        </w:rPr>
        <w:t>一</w:t>
      </w:r>
      <w:r>
        <w:rPr>
          <w:rFonts w:ascii="黑体" w:hAnsi="黑体" w:eastAsia="黑体" w:cs="Times New Roman"/>
          <w:color w:val="5B9BD5" w:themeColor="accent5"/>
          <w:kern w:val="44"/>
          <w:sz w:val="28"/>
          <w14:textFill>
            <w14:solidFill>
              <w14:schemeClr w14:val="accent5"/>
            </w14:solidFill>
          </w14:textFill>
        </w:rPr>
        <w:t>、政策动态</w:t>
      </w:r>
      <w:bookmarkEnd w:id="7"/>
    </w:p>
    <w:p w14:paraId="61C36245">
      <w:pPr>
        <w:pStyle w:val="2"/>
        <w:numPr>
          <w:ilvl w:val="0"/>
          <w:numId w:val="2"/>
        </w:numPr>
        <w:rPr>
          <w:rFonts w:hint="eastAsia" w:ascii="仿宋" w:hAnsi="仿宋" w:cs="Arial"/>
          <w:color w:val="222222"/>
          <w:shd w:val="clear" w:color="auto" w:fill="FFFFFF"/>
          <w:lang w:bidi="ar"/>
        </w:rPr>
      </w:pPr>
      <w:bookmarkStart w:id="8" w:name="_Toc189920503"/>
      <w:bookmarkStart w:id="9" w:name="_Hlk163551680"/>
      <w:r>
        <w:rPr>
          <w:rFonts w:hint="eastAsia" w:ascii="仿宋" w:hAnsi="仿宋" w:cs="Arial"/>
          <w:color w:val="222222"/>
          <w:shd w:val="clear" w:color="auto" w:fill="FFFFFF"/>
          <w:lang w:bidi="ar"/>
        </w:rPr>
        <w:t>《广州市轨道交通场站综合体建设及周边土地综合开发实施细则》通过</w:t>
      </w:r>
      <w:bookmarkEnd w:id="8"/>
    </w:p>
    <w:bookmarkEnd w:id="9"/>
    <w:p w14:paraId="4CDCFEEA">
      <w:pPr>
        <w:ind w:firstLine="480"/>
        <w:rPr>
          <w:rFonts w:hint="eastAsia" w:ascii="仿宋" w:hAnsi="仿宋"/>
          <w:kern w:val="0"/>
          <w:szCs w:val="24"/>
          <w:lang w:bidi="en-US"/>
        </w:rPr>
      </w:pPr>
      <w:r>
        <w:rPr>
          <w:rFonts w:ascii="仿宋" w:hAnsi="仿宋"/>
          <w:kern w:val="0"/>
          <w:szCs w:val="24"/>
          <w:lang w:bidi="en-US"/>
        </w:rPr>
        <w:t>1月6日，广州市政府常务会议审议通过《广州市轨道交通场站综合体建设及周边土地综合开发实施细则》。该细则明确了场站综合体的设计原则，强调以便利出行、便捷换乘、节能降碳为原则，推动轨道交通设施与周边建筑及公共用地的整合，充分利用地上地下空间，实现“零换乘”目标，促进交通功能与城市生活服务功能的有机结合。同时，细则鼓励社会资本参与轨道交通相关设施投资建设，对于具备较好开发条件的站点或车辆基地，可采取带场站综合体方案向社会资本公开出让。</w:t>
      </w:r>
    </w:p>
    <w:p w14:paraId="23444562">
      <w:pPr>
        <w:ind w:firstLine="482"/>
        <w:rPr>
          <w:rFonts w:hint="eastAsia" w:ascii="仿宋" w:hAnsi="仿宋"/>
          <w:b/>
          <w:bCs/>
          <w:color w:val="4472C4" w:themeColor="accent1"/>
          <w:kern w:val="0"/>
          <w:szCs w:val="24"/>
          <w:lang w:bidi="en-US"/>
          <w14:textFill>
            <w14:solidFill>
              <w14:schemeClr w14:val="accent1"/>
            </w14:solidFill>
          </w14:textFill>
        </w:rPr>
      </w:pPr>
      <w:r>
        <w:rPr>
          <w:rFonts w:hint="eastAsia" w:ascii="仿宋" w:hAnsi="仿宋"/>
          <w:b/>
          <w:bCs/>
          <w:color w:val="4472C4" w:themeColor="accent1"/>
          <w:kern w:val="0"/>
          <w:szCs w:val="24"/>
          <w:lang w:bidi="en-US"/>
          <w14:textFill>
            <w14:solidFill>
              <w14:schemeClr w14:val="accent1"/>
            </w14:solidFill>
          </w14:textFill>
        </w:rPr>
        <w:t>点评：</w:t>
      </w:r>
      <w:r>
        <w:rPr>
          <w:rFonts w:ascii="仿宋" w:hAnsi="仿宋"/>
          <w:b/>
          <w:bCs/>
          <w:color w:val="4472C4" w:themeColor="accent1"/>
          <w:kern w:val="0"/>
          <w:szCs w:val="24"/>
          <w:lang w:bidi="en-US"/>
          <w14:textFill>
            <w14:solidFill>
              <w14:schemeClr w14:val="accent1"/>
            </w14:solidFill>
          </w14:textFill>
        </w:rPr>
        <w:t>该细则的出台为广州轨道交通场站综合体及周边土地开发提供了明确的指导和规范，有助于提升土地利用效率，促进城市功能与交通功能的有机结合，推动轨道交通可持续发展。通过鼓励社会资本参与，能够进一步拓宽资金来源，加快项目建设进度，提升项目的整体质量和效益。</w:t>
      </w:r>
    </w:p>
    <w:p w14:paraId="010164A9">
      <w:pPr>
        <w:pStyle w:val="2"/>
        <w:numPr>
          <w:ilvl w:val="0"/>
          <w:numId w:val="2"/>
        </w:numPr>
        <w:rPr>
          <w:rFonts w:hint="eastAsia" w:ascii="仿宋" w:hAnsi="仿宋" w:cs="Arial"/>
          <w:color w:val="222222"/>
          <w:shd w:val="clear" w:color="auto" w:fill="FFFFFF"/>
          <w:lang w:bidi="ar"/>
        </w:rPr>
      </w:pPr>
      <w:bookmarkStart w:id="10" w:name="_Toc189920504"/>
      <w:r>
        <w:rPr>
          <w:rFonts w:ascii="仿宋" w:hAnsi="仿宋" w:cs="Arial"/>
          <w:color w:val="222222"/>
          <w:shd w:val="clear" w:color="auto" w:fill="FFFFFF"/>
          <w:lang w:bidi="ar"/>
        </w:rPr>
        <w:t>《东方枢纽及周边地区专项规划（2025-2035年）》获批</w:t>
      </w:r>
      <w:bookmarkEnd w:id="10"/>
    </w:p>
    <w:p w14:paraId="2D7F59AC">
      <w:pPr>
        <w:tabs>
          <w:tab w:val="left" w:pos="1440"/>
        </w:tabs>
        <w:ind w:firstLine="480"/>
        <w:rPr>
          <w:rFonts w:hint="eastAsia" w:ascii="仿宋" w:hAnsi="仿宋"/>
        </w:rPr>
      </w:pPr>
      <w:r>
        <w:rPr>
          <w:rFonts w:ascii="仿宋" w:hAnsi="仿宋"/>
        </w:rPr>
        <w:t>1月8日，《东方枢纽及周边地区专项规划（2025—2035年）》正式获批。东方枢纽是上海两大国际（国家）级客运综合交通枢纽之一，由浦东国际机场和铁路上海东站组合形成。规划提出，东方</w:t>
      </w:r>
      <w:r>
        <w:rPr>
          <w:rFonts w:ascii="仿宋" w:hAnsi="仿宋"/>
          <w:kern w:val="0"/>
          <w:szCs w:val="24"/>
          <w:lang w:bidi="en-US"/>
        </w:rPr>
        <w:t>枢纽</w:t>
      </w:r>
      <w:r>
        <w:rPr>
          <w:rFonts w:ascii="仿宋" w:hAnsi="仿宋"/>
        </w:rPr>
        <w:t>上海东站站前区项目作为站城一体开发的核心区域，总用地面积约22万平方米，总建筑面积约103.8万平方米，功能涵盖商业、酒店、办公、会展等多种复合业态。规划强调站城融合，将打造集交通、商业、文化、居住等功能于一体的现代化城市新地标。</w:t>
      </w:r>
    </w:p>
    <w:p w14:paraId="3001B1A9">
      <w:pPr>
        <w:ind w:firstLine="482"/>
        <w:rPr>
          <w:rFonts w:hint="eastAsia" w:ascii="仿宋" w:hAnsi="仿宋"/>
          <w:b/>
          <w:bCs/>
          <w:color w:val="4472C4" w:themeColor="accent1"/>
          <w:kern w:val="0"/>
          <w:szCs w:val="24"/>
          <w:lang w:bidi="en-US"/>
          <w14:textFill>
            <w14:solidFill>
              <w14:schemeClr w14:val="accent1"/>
            </w14:solidFill>
          </w14:textFill>
        </w:rPr>
      </w:pPr>
      <w:r>
        <w:rPr>
          <w:rFonts w:ascii="仿宋" w:hAnsi="仿宋"/>
          <w:b/>
          <w:bCs/>
          <w:color w:val="4472C4" w:themeColor="accent1"/>
          <w:kern w:val="0"/>
          <w:szCs w:val="24"/>
          <w:lang w:bidi="en-US"/>
          <w14:textFill>
            <w14:solidFill>
              <w14:schemeClr w14:val="accent1"/>
            </w14:solidFill>
          </w14:textFill>
        </w:rPr>
        <w:t>点评：该规划的获批标志着东方枢纽建设进入新阶段，对于优化区域交通布局、提升城市能级具有重要意义。通过站城一体化开发，将有效提升区域交通便利性和城市形象，促进区域经济发展。东方枢纽的建设将进一步巩固上海作为国际交通枢纽的地位，推动长三角区域一体化发展。</w:t>
      </w:r>
    </w:p>
    <w:p w14:paraId="57E3F637">
      <w:pPr>
        <w:pStyle w:val="2"/>
        <w:numPr>
          <w:ilvl w:val="0"/>
          <w:numId w:val="2"/>
        </w:numPr>
        <w:rPr>
          <w:rFonts w:hint="eastAsia" w:ascii="仿宋" w:hAnsi="仿宋" w:cs="Arial"/>
          <w:color w:val="222222"/>
          <w:shd w:val="clear" w:color="auto" w:fill="FFFFFF"/>
          <w:lang w:bidi="ar"/>
        </w:rPr>
      </w:pPr>
      <w:bookmarkStart w:id="11" w:name="_Toc189920505"/>
      <w:r>
        <w:rPr>
          <w:rFonts w:hint="eastAsia" w:ascii="仿宋" w:hAnsi="仿宋" w:cs="Arial"/>
          <w:color w:val="222222"/>
          <w:shd w:val="clear" w:color="auto" w:fill="FFFFFF"/>
          <w:lang w:bidi="ar"/>
        </w:rPr>
        <w:t>北京市政府印发</w:t>
      </w:r>
      <w:r>
        <w:rPr>
          <w:rFonts w:ascii="仿宋" w:hAnsi="仿宋" w:cs="Arial"/>
          <w:color w:val="222222"/>
          <w:shd w:val="clear" w:color="auto" w:fill="FFFFFF"/>
          <w:lang w:bidi="ar"/>
        </w:rPr>
        <w:t>《2025年市政府工作报告重点任务清单》</w:t>
      </w:r>
      <w:bookmarkEnd w:id="11"/>
    </w:p>
    <w:p w14:paraId="5F6972DC">
      <w:pPr>
        <w:tabs>
          <w:tab w:val="left" w:pos="1440"/>
        </w:tabs>
        <w:ind w:firstLine="480"/>
        <w:rPr>
          <w:rFonts w:hint="eastAsia" w:ascii="仿宋" w:hAnsi="仿宋"/>
        </w:rPr>
      </w:pPr>
      <w:r>
        <w:rPr>
          <w:rFonts w:ascii="仿宋" w:hAnsi="仿宋"/>
        </w:rPr>
        <w:t>1月26日，北京市政府印发</w:t>
      </w:r>
      <w:r>
        <w:rPr>
          <w:rFonts w:ascii="仿宋" w:hAnsi="仿宋"/>
          <w:kern w:val="0"/>
          <w:szCs w:val="24"/>
          <w:lang w:bidi="en-US"/>
        </w:rPr>
        <w:t>《2025年市政府工作报告重点任务清单》</w:t>
      </w:r>
      <w:r>
        <w:rPr>
          <w:rFonts w:ascii="仿宋" w:hAnsi="仿宋"/>
        </w:rPr>
        <w:t>。其中，重点提出推动城市副中心高质量发展，继续保持千亿级投资强度，推动第二轮城市副中心控规实施工作方案收官，谋划第三轮实施任务。基本建成副中心站综合交通枢纽，推进轨道交通M101线一期、六环高线公园等重点工程建设。同时，提出编制出台现代化首都都市圈空间协同规划，加强重点领域协同发展政策对接，着力建设通勤圈、功能圈、产业协同圈。建立互联互通综合交通网络，加快轨道交通平谷线建设，实现承平高速建成通车，完成京平高速改扩建工程，协同推进首都环线高速段建设，推动定制快巴延伸覆盖。</w:t>
      </w:r>
    </w:p>
    <w:p w14:paraId="6B684008">
      <w:pPr>
        <w:ind w:firstLine="482"/>
        <w:rPr>
          <w:rFonts w:hint="eastAsia" w:ascii="仿宋" w:hAnsi="仿宋"/>
          <w:b/>
          <w:bCs/>
          <w:color w:val="4472C4" w:themeColor="accent1"/>
          <w:kern w:val="0"/>
          <w:szCs w:val="24"/>
          <w:lang w:bidi="en-US"/>
          <w14:textFill>
            <w14:solidFill>
              <w14:schemeClr w14:val="accent1"/>
            </w14:solidFill>
          </w14:textFill>
        </w:rPr>
      </w:pPr>
      <w:r>
        <w:rPr>
          <w:rFonts w:ascii="仿宋" w:hAnsi="仿宋"/>
          <w:b/>
          <w:bCs/>
          <w:color w:val="4472C4" w:themeColor="accent1"/>
          <w:kern w:val="0"/>
          <w:szCs w:val="24"/>
          <w:lang w:bidi="en-US"/>
          <w14:textFill>
            <w14:solidFill>
              <w14:schemeClr w14:val="accent1"/>
            </w14:solidFill>
          </w14:textFill>
        </w:rPr>
        <w:t>点评：该任务清单体现了北京市对城市交通发展的高度重视，通过一系列具体措施，将进一步提升城市交通的综合承载能力和运行效率，为市民提供更加便捷的出行条件。特别是对城市副中心的交通基础设施建设，将有力推动区域发展，提升城市整体功能和品质。同时，现代化首都都市圈空间协同规划的编制，将为京津冀协同发展提供有力支撑，促进区域一体化发展。</w:t>
      </w:r>
    </w:p>
    <w:p w14:paraId="494D1408">
      <w:pPr>
        <w:pStyle w:val="2"/>
        <w:numPr>
          <w:ilvl w:val="0"/>
          <w:numId w:val="2"/>
        </w:numPr>
        <w:rPr>
          <w:rFonts w:hint="eastAsia" w:ascii="仿宋" w:hAnsi="仿宋" w:cs="Arial"/>
          <w:color w:val="222222"/>
          <w:shd w:val="clear" w:color="auto" w:fill="FFFFFF"/>
          <w:lang w:bidi="ar"/>
        </w:rPr>
      </w:pPr>
      <w:bookmarkStart w:id="12" w:name="_Toc189920506"/>
      <w:r>
        <w:rPr>
          <w:rFonts w:ascii="仿宋" w:hAnsi="仿宋" w:cs="Arial"/>
          <w:color w:val="222222"/>
          <w:shd w:val="clear" w:color="auto" w:fill="FFFFFF"/>
          <w:lang w:bidi="ar"/>
        </w:rPr>
        <w:t>《温州市城市轨道交通线网规划（2021—2035）》公示</w:t>
      </w:r>
      <w:bookmarkEnd w:id="12"/>
    </w:p>
    <w:p w14:paraId="2D0640B6">
      <w:pPr>
        <w:tabs>
          <w:tab w:val="left" w:pos="1440"/>
        </w:tabs>
        <w:ind w:firstLine="480"/>
        <w:rPr>
          <w:rFonts w:hint="eastAsia" w:ascii="仿宋" w:hAnsi="仿宋"/>
        </w:rPr>
      </w:pPr>
      <w:r>
        <w:rPr>
          <w:rFonts w:ascii="仿宋" w:hAnsi="仿宋"/>
        </w:rPr>
        <w:t>1月26日，温州市自然资源和规划局公示《温州市城市轨道交通线网规划（2021—2035）》。规划显示，温州远期轨道交通线网由9条线路组成，总规模约499公里，涵盖市域铁路与城市轨道交通两个层次。其中，市域铁路包括S1、S2、S3线，总规模约202公里，主要服务都市区主副中心间的中长距离快速交通出行；城市轨道交通包括1至6号线，总规模约297公里，主要服务中心城区及辅城内部通勤出行。规划还明确了线网功能层次，提出推动公交优先与绿色发展，实现市域1小时交通圈、中心城区与南部副中心1小时通勤圈等目标。这一规划为温州未来轨道交通发展提供了清晰蓝图，有助于优化城市交通结构，提升公共交通服务水平，推动区域一体化发展。</w:t>
      </w:r>
    </w:p>
    <w:p w14:paraId="57C26E84">
      <w:pPr>
        <w:ind w:firstLine="482"/>
        <w:rPr>
          <w:rFonts w:hint="eastAsia" w:ascii="仿宋" w:hAnsi="仿宋"/>
          <w:b/>
          <w:bCs/>
          <w:color w:val="4472C4" w:themeColor="accent1"/>
          <w:kern w:val="0"/>
          <w:szCs w:val="24"/>
          <w:lang w:bidi="en-US"/>
          <w14:textFill>
            <w14:solidFill>
              <w14:schemeClr w14:val="accent1"/>
            </w14:solidFill>
          </w14:textFill>
        </w:rPr>
      </w:pPr>
      <w:r>
        <w:rPr>
          <w:rFonts w:hint="eastAsia" w:ascii="仿宋" w:hAnsi="仿宋"/>
          <w:b/>
          <w:bCs/>
          <w:color w:val="4472C4" w:themeColor="accent1"/>
          <w:kern w:val="0"/>
          <w:szCs w:val="24"/>
          <w:lang w:bidi="en-US"/>
          <w14:textFill>
            <w14:solidFill>
              <w14:schemeClr w14:val="accent1"/>
            </w14:solidFill>
          </w14:textFill>
        </w:rPr>
        <w:t>点评：</w:t>
      </w:r>
      <w:r>
        <w:rPr>
          <w:rFonts w:ascii="仿宋" w:hAnsi="仿宋"/>
          <w:b/>
          <w:bCs/>
          <w:color w:val="4472C4" w:themeColor="accent1"/>
          <w:kern w:val="0"/>
          <w:szCs w:val="24"/>
          <w:lang w:bidi="en-US"/>
          <w14:textFill>
            <w14:solidFill>
              <w14:schemeClr w14:val="accent1"/>
            </w14:solidFill>
          </w14:textFill>
        </w:rPr>
        <w:t>该规划为温州未来轨道交通发展提供了清晰蓝图，有助于优化城市交通结构，提升公共交通服务水平，推动区域一体化发展。通过构建市域1小时交通圈和中心城区与南部副中心1小时通勤圈，温州将进一步增强城市内部的连通性，促进区域协调发展。</w:t>
      </w:r>
    </w:p>
    <w:p w14:paraId="22BB6DDE">
      <w:pPr>
        <w:ind w:firstLine="482"/>
        <w:rPr>
          <w:rFonts w:hint="eastAsia" w:ascii="仿宋" w:hAnsi="仿宋"/>
          <w:b/>
          <w:bCs/>
          <w:color w:val="4472C4" w:themeColor="accent1"/>
          <w:kern w:val="0"/>
          <w:szCs w:val="24"/>
          <w:lang w:bidi="en-US"/>
          <w14:textFill>
            <w14:solidFill>
              <w14:schemeClr w14:val="accent1"/>
            </w14:solidFill>
          </w14:textFill>
        </w:rPr>
      </w:pPr>
    </w:p>
    <w:p w14:paraId="4DB685C3">
      <w:pPr>
        <w:ind w:firstLine="480"/>
        <w:rPr>
          <w:rFonts w:hint="eastAsia" w:ascii="仿宋" w:hAnsi="仿宋"/>
        </w:rPr>
        <w:sectPr>
          <w:headerReference r:id="rId12" w:type="default"/>
          <w:pgSz w:w="11906" w:h="16838"/>
          <w:pgMar w:top="1440" w:right="1800" w:bottom="1440" w:left="1800" w:header="1474" w:footer="964" w:gutter="0"/>
          <w:cols w:space="425" w:num="1"/>
          <w:docGrid w:type="lines" w:linePitch="326" w:charSpace="0"/>
        </w:sectPr>
      </w:pPr>
    </w:p>
    <w:p w14:paraId="4BA5F5A2">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13" w:name="_Toc189920507"/>
      <w:r>
        <w:rPr>
          <w:rFonts w:hint="eastAsia" w:ascii="黑体" w:hAnsi="黑体" w:eastAsia="黑体" w:cs="Times New Roman"/>
          <w:color w:val="5B9BD5" w:themeColor="accent5"/>
          <w:kern w:val="44"/>
          <w:sz w:val="28"/>
          <w14:textFill>
            <w14:solidFill>
              <w14:schemeClr w14:val="accent5"/>
            </w14:solidFill>
          </w14:textFill>
        </w:rPr>
        <w:t>二</w:t>
      </w:r>
      <w:r>
        <w:rPr>
          <w:rFonts w:ascii="黑体" w:hAnsi="黑体" w:eastAsia="黑体" w:cs="Times New Roman"/>
          <w:color w:val="5B9BD5" w:themeColor="accent5"/>
          <w:kern w:val="44"/>
          <w:sz w:val="28"/>
          <w14:textFill>
            <w14:solidFill>
              <w14:schemeClr w14:val="accent5"/>
            </w14:solidFill>
          </w14:textFill>
        </w:rPr>
        <w:t>、行业动态</w:t>
      </w:r>
      <w:bookmarkEnd w:id="13"/>
    </w:p>
    <w:p w14:paraId="18E4580F">
      <w:pPr>
        <w:pStyle w:val="2"/>
        <w:numPr>
          <w:ilvl w:val="0"/>
          <w:numId w:val="3"/>
        </w:numPr>
        <w:rPr>
          <w:rFonts w:hint="eastAsia" w:ascii="仿宋" w:hAnsi="仿宋" w:cs="Arial"/>
          <w:color w:val="222222"/>
          <w:kern w:val="0"/>
          <w:szCs w:val="24"/>
          <w:shd w:val="clear" w:color="auto" w:fill="FFFFFF"/>
          <w:lang w:bidi="ar"/>
        </w:rPr>
      </w:pPr>
      <w:bookmarkStart w:id="14" w:name="_Toc189920508"/>
      <w:r>
        <w:rPr>
          <w:rFonts w:hint="eastAsia" w:ascii="仿宋" w:hAnsi="仿宋" w:cs="Arial"/>
          <w:color w:val="222222"/>
          <w:kern w:val="0"/>
          <w:szCs w:val="24"/>
          <w:shd w:val="clear" w:color="auto" w:fill="FFFFFF"/>
          <w:lang w:bidi="ar"/>
        </w:rPr>
        <w:t>北京市</w:t>
      </w:r>
      <w:r>
        <w:rPr>
          <w:rFonts w:ascii="仿宋" w:hAnsi="仿宋" w:cs="Arial"/>
          <w:color w:val="222222"/>
          <w:kern w:val="0"/>
          <w:szCs w:val="24"/>
          <w:shd w:val="clear" w:color="auto" w:fill="FFFFFF"/>
          <w:lang w:bidi="ar"/>
        </w:rPr>
        <w:t>丰台区中关村丰台园西二区等街区规划出炉，推动站城一体化发展</w:t>
      </w:r>
      <w:bookmarkEnd w:id="14"/>
    </w:p>
    <w:p w14:paraId="0B12FCD6">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1月，丰台区发布中关村丰台园西二区、201所及辛庄地区街区控制性详细规划（草案）。该区域位于永定河西岸，设有地铁1号线支线张郭庄、北宫2个站点，与地铁14号线换乘。规划定位为低空技术引领的创新引擎、站城融合发展的示范片区、山水生态交融的花园新城。规划突出轨道引领作用，协同地铁1号线支线一体化规划，优化站点周边用地布局，打造微中心，强化公交换乘与绿道串联。通过绿道串联社区会客厅、公园等设施，构建15分钟社区生活圈，促进职住平衡。该规划紧抓地铁建设契机，推动河西“科技绿谷、山水新城”建设，为丰台区发展注入新动力。</w:t>
      </w:r>
    </w:p>
    <w:p w14:paraId="727A58DC">
      <w:pPr>
        <w:pStyle w:val="2"/>
        <w:numPr>
          <w:ilvl w:val="0"/>
          <w:numId w:val="3"/>
        </w:numPr>
        <w:rPr>
          <w:rFonts w:hint="eastAsia" w:ascii="仿宋" w:hAnsi="仿宋" w:cs="Arial"/>
          <w:color w:val="222222"/>
          <w:kern w:val="0"/>
          <w:szCs w:val="24"/>
          <w:shd w:val="clear" w:color="auto" w:fill="FFFFFF"/>
          <w:lang w:bidi="ar"/>
        </w:rPr>
      </w:pPr>
      <w:bookmarkStart w:id="15" w:name="_Toc189920509"/>
      <w:r>
        <w:rPr>
          <w:rFonts w:ascii="仿宋" w:hAnsi="仿宋" w:cs="Arial"/>
          <w:color w:val="222222"/>
          <w:kern w:val="0"/>
          <w:szCs w:val="24"/>
          <w:shd w:val="clear" w:color="auto" w:fill="FFFFFF"/>
          <w:lang w:bidi="ar"/>
        </w:rPr>
        <w:t>武汉天河高铁站站城一体化方案研讨会召开</w:t>
      </w:r>
      <w:bookmarkEnd w:id="15"/>
    </w:p>
    <w:p w14:paraId="5AAFD5D3">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1月8日，武汉临空投集团公司召开天河高铁站站城一体化相关设计方案研讨会。会议强调，天河高铁站区域作为临空经济示范区的核心片区，要依托交通优势集聚产业能量，打造高水平站城一体的现代化城市新地标。会议要求突出规划引领，优化完善规划和方案，统筹车站建设与城市功能布局，强化要素保障，提升综合规划质量和水平。此次研讨会的召开标志着天河高铁站站城一体化项目前期工作进入关键阶段，为推动武汉临空经济高质量发展奠定基础。</w:t>
      </w:r>
    </w:p>
    <w:p w14:paraId="26AADAB1">
      <w:pPr>
        <w:pStyle w:val="2"/>
        <w:numPr>
          <w:ilvl w:val="0"/>
          <w:numId w:val="3"/>
        </w:numPr>
        <w:rPr>
          <w:rFonts w:hint="eastAsia" w:ascii="仿宋" w:hAnsi="仿宋" w:cs="Arial"/>
          <w:color w:val="222222"/>
          <w:kern w:val="0"/>
          <w:szCs w:val="24"/>
          <w:shd w:val="clear" w:color="auto" w:fill="FFFFFF"/>
          <w:lang w:bidi="ar"/>
        </w:rPr>
      </w:pPr>
      <w:bookmarkStart w:id="16" w:name="_Toc189920510"/>
      <w:r>
        <w:rPr>
          <w:rFonts w:ascii="仿宋" w:hAnsi="仿宋" w:cs="Arial"/>
          <w:color w:val="222222"/>
          <w:kern w:val="0"/>
          <w:szCs w:val="24"/>
          <w:shd w:val="clear" w:color="auto" w:fill="FFFFFF"/>
          <w:lang w:bidi="ar"/>
        </w:rPr>
        <w:t>国铁集团召开2025年经营开发工作会议，提升铁路土地综合开发水平</w:t>
      </w:r>
      <w:bookmarkEnd w:id="16"/>
    </w:p>
    <w:p w14:paraId="03948661">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1月8日，中国国家铁路集团有限公司召开2025年经营开发工作会议。会议总结2024年工作成效，部署2025年重点工作。2025年，铁路经营开发工作将深入贯彻党的二十大精神，以深化国铁企业改革为主线，深化运输业与非运输业一体化经营，提升资本运营和股权管理效能，提高铁路土地管理和综合开发水平。会议强调，要推动合资铁路公司提质增效，为加快建设世界一流铁路企业作出更大贡献。此次会议为铁路系统在新的一年里提升综合开发能力、推动高质量发展指明了方向，有助于进一步优化铁路土地资源利用，提升铁路企业的经济效益与社会效益。</w:t>
      </w:r>
    </w:p>
    <w:p w14:paraId="73F3F50D">
      <w:pPr>
        <w:pStyle w:val="2"/>
        <w:numPr>
          <w:ilvl w:val="0"/>
          <w:numId w:val="3"/>
        </w:numPr>
        <w:rPr>
          <w:rFonts w:hint="eastAsia" w:ascii="仿宋" w:hAnsi="仿宋" w:cs="Arial"/>
          <w:color w:val="222222"/>
          <w:kern w:val="0"/>
          <w:szCs w:val="24"/>
          <w:shd w:val="clear" w:color="auto" w:fill="FFFFFF"/>
          <w:lang w:bidi="ar"/>
        </w:rPr>
      </w:pPr>
      <w:bookmarkStart w:id="17" w:name="_Toc189920511"/>
      <w:r>
        <w:rPr>
          <w:rFonts w:ascii="仿宋" w:hAnsi="仿宋" w:cs="Arial"/>
          <w:color w:val="222222"/>
          <w:kern w:val="0"/>
          <w:szCs w:val="24"/>
          <w:shd w:val="clear" w:color="auto" w:fill="FFFFFF"/>
          <w:lang w:bidi="ar"/>
        </w:rPr>
        <w:t>雄安新区两项交通强国建设试点任务通过验收</w:t>
      </w:r>
      <w:bookmarkEnd w:id="17"/>
    </w:p>
    <w:p w14:paraId="710CEE4D">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1月，雄安新区“打造现代综合交通枢纽”和“通道资源综合利用”两项交通强国建设试点任务通过验收。雄安站采用“站城一体化”设计理念，实现多种交通方式无缝衔接，降低旅客出行时间和成本。同时，雄安新区启动区东西轴线项目集约利用交通通道线位资源，统筹规划铁路、轨道、公路等设施，实现廊道建设与城市规划衔接。这两项试点成果不仅完善了京津冀区域铁路网布局，还为雄安新区吸引高端产业和技术企业入驻提供了基础保障，推动了站城一体化发展，探索建立了“路地合作”新模式，为全国交通强国建设提供了宝贵经验。</w:t>
      </w:r>
    </w:p>
    <w:p w14:paraId="181F0679">
      <w:pPr>
        <w:pStyle w:val="2"/>
        <w:numPr>
          <w:ilvl w:val="0"/>
          <w:numId w:val="3"/>
        </w:numPr>
        <w:rPr>
          <w:rFonts w:hint="eastAsia" w:ascii="仿宋" w:hAnsi="仿宋" w:cs="Arial"/>
          <w:color w:val="222222"/>
          <w:kern w:val="0"/>
          <w:szCs w:val="24"/>
          <w:shd w:val="clear" w:color="auto" w:fill="FFFFFF"/>
          <w:lang w:bidi="ar"/>
        </w:rPr>
      </w:pPr>
      <w:bookmarkStart w:id="18" w:name="_Toc189920512"/>
      <w:r>
        <w:rPr>
          <w:rFonts w:ascii="仿宋" w:hAnsi="仿宋" w:cs="Arial"/>
          <w:color w:val="222222"/>
          <w:kern w:val="0"/>
          <w:szCs w:val="24"/>
          <w:shd w:val="clear" w:color="auto" w:fill="FFFFFF"/>
          <w:lang w:bidi="ar"/>
        </w:rPr>
        <w:t>深圳“三铁”在建里程达598.7公里，2030年覆盖大湾区“一小时通勤圈”</w:t>
      </w:r>
      <w:bookmarkEnd w:id="18"/>
    </w:p>
    <w:p w14:paraId="7948053A">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截至2024年底，深圳市地铁运营里程达595.1公里，位居全国首位。2025年1月消息显示，“三铁”（国家铁路、城际铁路、城市轨道交通）在建里程达598.7公里。预计到2027年，10条地铁四期调整线路及5条铁路建成，到2030年，建成7条高铁、9条城际线等26个铁路项目，运营服务里程超过1000公里，全面覆盖大湾区“一小时通勤圈”。深圳的轨道交通建设加速推进，将实现大湾区核心城市间半小时直达，提升区域交通一体化水平，增强深圳作为大湾区核心引擎城市的辐射带动作用，为市民提供更加便捷高效的出行服务，推动区域经济社会融合发展。</w:t>
      </w:r>
    </w:p>
    <w:p w14:paraId="5AFD87E4">
      <w:pPr>
        <w:pStyle w:val="2"/>
        <w:numPr>
          <w:ilvl w:val="0"/>
          <w:numId w:val="3"/>
        </w:numPr>
        <w:rPr>
          <w:rFonts w:hint="eastAsia" w:ascii="仿宋" w:hAnsi="仿宋" w:cs="Arial"/>
          <w:color w:val="222222"/>
          <w:kern w:val="0"/>
          <w:szCs w:val="24"/>
          <w:shd w:val="clear" w:color="auto" w:fill="FFFFFF"/>
          <w:lang w:bidi="ar"/>
        </w:rPr>
      </w:pPr>
      <w:bookmarkStart w:id="19" w:name="_Toc189920513"/>
      <w:r>
        <w:rPr>
          <w:rFonts w:ascii="仿宋" w:hAnsi="仿宋" w:cs="Arial"/>
          <w:color w:val="222222"/>
          <w:kern w:val="0"/>
          <w:szCs w:val="24"/>
          <w:shd w:val="clear" w:color="auto" w:fill="FFFFFF"/>
          <w:lang w:bidi="ar"/>
        </w:rPr>
        <w:t>北京优先向轨道交通站点和就业密集地区供应住宅用地</w:t>
      </w:r>
      <w:bookmarkEnd w:id="19"/>
    </w:p>
    <w:p w14:paraId="4B531F8D">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1月14日，北京市市长殷勇在北京市第十六届人民代表大会第三次会议上作政府工作报告，提出2025年将优先向轨道交通站点和就业密集地区供应住宅用地，建设筹集保障性租赁住房5万套、竣工各类保障房8万套。这一政策旨在优化房地产政策，满足城乡居民住房需求，构建“保障+市场”住房供应体系，推动房地产市场平稳健康发展。通过在轨道交通站点周边布局住宅，将有效促进职住平衡，减少通勤时间与成本，提升城市居民生活品质，为北京城市可持续发展提供有力支撑。</w:t>
      </w:r>
    </w:p>
    <w:p w14:paraId="4EEE4960">
      <w:pPr>
        <w:pStyle w:val="2"/>
        <w:numPr>
          <w:ilvl w:val="0"/>
          <w:numId w:val="3"/>
        </w:numPr>
        <w:rPr>
          <w:rFonts w:hint="eastAsia" w:ascii="仿宋" w:hAnsi="仿宋" w:cs="Arial"/>
          <w:color w:val="222222"/>
          <w:kern w:val="0"/>
          <w:szCs w:val="24"/>
          <w:shd w:val="clear" w:color="auto" w:fill="FFFFFF"/>
          <w:lang w:bidi="ar"/>
        </w:rPr>
      </w:pPr>
      <w:bookmarkStart w:id="20" w:name="_Toc189920514"/>
      <w:r>
        <w:rPr>
          <w:rFonts w:ascii="仿宋" w:hAnsi="仿宋" w:cs="Arial"/>
          <w:color w:val="222222"/>
          <w:kern w:val="0"/>
          <w:szCs w:val="24"/>
          <w:shd w:val="clear" w:color="auto" w:fill="FFFFFF"/>
          <w:lang w:bidi="ar"/>
        </w:rPr>
        <w:t>2024年12月全国城市轨道交通运营里程达10945.6公里</w:t>
      </w:r>
      <w:bookmarkEnd w:id="20"/>
    </w:p>
    <w:p w14:paraId="2681C9F5">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交通运输部消息，2024年12月，全国共有54个城市开通运营城市轨道交通线路325条，运营里程达10945.6公里。其中，地铁、轻轨线路267条，运营里程9477.6公里；单轨、磁浮、市域快速轨道交通线路25条，运营里程970.7公里；有轨电车、自动导向轨道线路33条，运营里程497.3公里。12月新增运营里程423.5公里，新增运营线路12条，新增运营区段12个。全国城市轨道交通运营里程的持续增长，反映了我国城市交通基础设施建设的快速发展，为城市居民提供了更加便捷、高效的出行选择，有助于缓解城市交通拥堵，推动城市可持续发展。</w:t>
      </w:r>
    </w:p>
    <w:p w14:paraId="5C2D8CED">
      <w:pPr>
        <w:pStyle w:val="2"/>
        <w:numPr>
          <w:ilvl w:val="0"/>
          <w:numId w:val="3"/>
        </w:numPr>
        <w:rPr>
          <w:rFonts w:hint="eastAsia" w:ascii="仿宋" w:hAnsi="仿宋" w:cs="Arial"/>
          <w:color w:val="222222"/>
          <w:kern w:val="0"/>
          <w:szCs w:val="24"/>
          <w:shd w:val="clear" w:color="auto" w:fill="FFFFFF"/>
          <w:lang w:bidi="ar"/>
        </w:rPr>
      </w:pPr>
      <w:bookmarkStart w:id="21" w:name="_Toc189920515"/>
      <w:r>
        <w:rPr>
          <w:rFonts w:ascii="仿宋" w:hAnsi="仿宋" w:cs="Arial"/>
          <w:color w:val="222222"/>
          <w:kern w:val="0"/>
          <w:szCs w:val="24"/>
          <w:shd w:val="clear" w:color="auto" w:fill="FFFFFF"/>
          <w:lang w:bidi="ar"/>
        </w:rPr>
        <w:t>上海市推进234公里市域铁路建设</w:t>
      </w:r>
      <w:bookmarkEnd w:id="21"/>
    </w:p>
    <w:p w14:paraId="5A844087">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1月16日，上海市交通委主任于福林表示，2025年上海将全面实施《本市推动长三角交通一体化发展三年行动计划（2024—2026年）》，推进234公里市域铁路建设，包括上海示范区线、嘉闵线等。同时，还将推进163公里国铁项目建设，如沪通二期、沪渝蓉铁路等，并开工建设沪乍杭铁路。此外，上海将继续推进长三角交通“一码通行”，完善货运基础设施，优化货运组织模式，强化交通治理协同。这些举措将进一步完善上海及长三角地区的交通网络，提升区域交通一体化水平，推动长三角区域高质量发展。</w:t>
      </w:r>
    </w:p>
    <w:p w14:paraId="1EAC727B">
      <w:pPr>
        <w:pStyle w:val="2"/>
        <w:numPr>
          <w:ilvl w:val="0"/>
          <w:numId w:val="3"/>
        </w:numPr>
        <w:rPr>
          <w:rFonts w:hint="eastAsia" w:ascii="仿宋" w:hAnsi="仿宋" w:cs="Arial"/>
          <w:color w:val="222222"/>
          <w:kern w:val="0"/>
          <w:szCs w:val="24"/>
          <w:shd w:val="clear" w:color="auto" w:fill="FFFFFF"/>
          <w:lang w:bidi="ar"/>
        </w:rPr>
      </w:pPr>
      <w:bookmarkStart w:id="22" w:name="_Toc189920516"/>
      <w:r>
        <w:rPr>
          <w:rFonts w:ascii="仿宋" w:hAnsi="仿宋" w:cs="Arial"/>
          <w:color w:val="222222"/>
          <w:kern w:val="0"/>
          <w:szCs w:val="24"/>
          <w:shd w:val="clear" w:color="auto" w:fill="FFFFFF"/>
          <w:lang w:bidi="ar"/>
        </w:rPr>
        <w:t>厦门召开公交场站综合开发建设会议</w:t>
      </w:r>
      <w:bookmarkEnd w:id="22"/>
    </w:p>
    <w:p w14:paraId="58B0A0B0">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1月20日，厦门公交场站综合开发建设会议召开，强调要高度重视、合力协调，打造公交场站综合开发项目标杆。会议要求参建各方建立高效沟通协作机制，加快施工图及施工筹划等工作，确保项目如期完成。此次会议的召开为厦门公交场站综合开发建设提供了明确指导，有助于提升公交场站的综合利用率和服务水平，推动厦门公共交通事业发展，为市民提供更加便捷、高效的出行环境。</w:t>
      </w:r>
    </w:p>
    <w:p w14:paraId="0B116F22">
      <w:pPr>
        <w:pStyle w:val="2"/>
        <w:numPr>
          <w:ilvl w:val="0"/>
          <w:numId w:val="3"/>
        </w:numPr>
        <w:rPr>
          <w:rFonts w:hint="eastAsia" w:ascii="仿宋" w:hAnsi="仿宋" w:cs="Arial"/>
          <w:color w:val="222222"/>
          <w:kern w:val="0"/>
          <w:szCs w:val="24"/>
          <w:shd w:val="clear" w:color="auto" w:fill="FFFFFF"/>
          <w:lang w:bidi="ar"/>
        </w:rPr>
      </w:pPr>
      <w:bookmarkStart w:id="23" w:name="_Toc189920517"/>
      <w:r>
        <w:rPr>
          <w:rFonts w:hint="eastAsia" w:ascii="仿宋" w:hAnsi="仿宋" w:cs="Arial"/>
          <w:color w:val="222222"/>
          <w:kern w:val="0"/>
          <w:szCs w:val="24"/>
          <w:shd w:val="clear" w:color="auto" w:fill="FFFFFF"/>
          <w:lang w:bidi="ar"/>
        </w:rPr>
        <w:t>北京</w:t>
      </w:r>
      <w:r>
        <w:rPr>
          <w:rFonts w:ascii="仿宋" w:hAnsi="仿宋" w:cs="Arial"/>
          <w:color w:val="222222"/>
          <w:kern w:val="0"/>
          <w:szCs w:val="24"/>
          <w:shd w:val="clear" w:color="auto" w:fill="FFFFFF"/>
          <w:lang w:bidi="ar"/>
        </w:rPr>
        <w:t>大兴新城芦城地区城中村改造项目规划公示</w:t>
      </w:r>
      <w:bookmarkEnd w:id="23"/>
    </w:p>
    <w:p w14:paraId="36E1341C">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1月24日，北京市规自委公示大兴新城芦城地区（西片区单元）城中村改造一期A组团项目规划综合实施方案。该项目位于大兴新城西部，紧邻南五环，规划占地13.68平方公里，整体建筑规模达1120万平方米。区域内有M9、M20、S6三条轨道线路和四个轨道站点，将打造站城融合的“生活圈”。未来，大兴新城西片区将规划建设长约13.4公里的绿道，提升区域“含绿量”，打造“河畔花园，永兴之城”。该项目的推进将有助于改善大兴区城市面貌，提升区域生态环境质量，推动产城融合发展，为居民创造更加宜居宜业的生活环境。</w:t>
      </w:r>
    </w:p>
    <w:p w14:paraId="7898D7F5">
      <w:pPr>
        <w:pStyle w:val="2"/>
        <w:numPr>
          <w:ilvl w:val="0"/>
          <w:numId w:val="3"/>
        </w:numPr>
        <w:rPr>
          <w:rFonts w:hint="eastAsia" w:ascii="仿宋" w:hAnsi="仿宋" w:cs="Arial"/>
          <w:color w:val="222222"/>
          <w:kern w:val="0"/>
          <w:szCs w:val="24"/>
          <w:shd w:val="clear" w:color="auto" w:fill="FFFFFF"/>
          <w:lang w:bidi="ar"/>
        </w:rPr>
      </w:pPr>
      <w:bookmarkStart w:id="24" w:name="_Toc189920518"/>
      <w:r>
        <w:rPr>
          <w:rFonts w:ascii="仿宋" w:hAnsi="仿宋" w:cs="Arial"/>
          <w:color w:val="222222"/>
          <w:kern w:val="0"/>
          <w:szCs w:val="24"/>
          <w:shd w:val="clear" w:color="auto" w:fill="FFFFFF"/>
          <w:lang w:bidi="ar"/>
        </w:rPr>
        <w:t>宁波市鄞州区下应地段控制性详细规划修编公示</w:t>
      </w:r>
      <w:bookmarkEnd w:id="24"/>
    </w:p>
    <w:p w14:paraId="1AA1BE47">
      <w:pPr>
        <w:pStyle w:val="48"/>
        <w:ind w:firstLine="480"/>
        <w:rPr>
          <w:rFonts w:hint="eastAsia" w:ascii="仿宋" w:hAnsi="仿宋" w:cs="Arial"/>
          <w:color w:val="222222"/>
          <w:shd w:val="clear" w:color="auto" w:fill="FFFFFF"/>
          <w:lang w:bidi="ar"/>
        </w:rPr>
      </w:pPr>
      <w:r>
        <w:rPr>
          <w:rFonts w:ascii="仿宋" w:hAnsi="仿宋" w:cs="Arial"/>
          <w:color w:val="222222"/>
          <w:shd w:val="clear" w:color="auto" w:fill="FFFFFF"/>
          <w:lang w:bidi="ar"/>
        </w:rPr>
        <w:t>1月26日，宁波市鄞州区公示下应地段控制性详细规划修编草案。该区域位于鄞州大道、金达南路、湖下路围合区域，规划面积约349.97公顷。区域内有地铁4号线、7号线、8号线经过，其中下应南车辆段是宁波迄今规模最大的地铁车辆基地。规划明确发展目标为城轨融合、城产融合、城绿融合的区域发展引擎，打造“三核三轴、多片多廊”的空间结构。规划范围内居住用地约150万平方米，公共设施配套完善。该规划的实施将有助于提升宁波市鄞州区的城市功能与品质，推动轨道交通沿线地区的综合开发与利用，促进区域经济社会发展。</w:t>
      </w:r>
    </w:p>
    <w:p w14:paraId="573F6EE6">
      <w:pPr>
        <w:pStyle w:val="48"/>
        <w:ind w:firstLine="480"/>
        <w:rPr>
          <w:rFonts w:hint="eastAsia" w:ascii="仿宋" w:hAnsi="仿宋" w:cs="Arial"/>
          <w:color w:val="222222"/>
          <w:shd w:val="clear" w:color="auto" w:fill="FFFFFF"/>
          <w:lang w:bidi="ar"/>
        </w:rPr>
      </w:pPr>
    </w:p>
    <w:p w14:paraId="544A94AD">
      <w:pPr>
        <w:pStyle w:val="48"/>
        <w:ind w:firstLine="0" w:firstLineChars="0"/>
        <w:rPr>
          <w:rFonts w:hint="eastAsia" w:ascii="仿宋" w:hAnsi="仿宋"/>
          <w:b/>
          <w:bCs/>
          <w:shd w:val="clear" w:color="auto" w:fill="FFFFFF"/>
          <w:lang w:bidi="ar"/>
        </w:rPr>
      </w:pPr>
    </w:p>
    <w:p w14:paraId="0A35A297">
      <w:pPr>
        <w:pStyle w:val="2"/>
        <w:keepLines/>
        <w:widowControl w:val="0"/>
        <w:spacing w:before="163" w:after="163"/>
        <w:rPr>
          <w:rFonts w:hint="eastAsia" w:ascii="仿宋" w:hAnsi="仿宋" w:cs="Times New Roman"/>
          <w:color w:val="5B9BD5" w:themeColor="accent5"/>
          <w:kern w:val="44"/>
          <w:sz w:val="28"/>
          <w14:textFill>
            <w14:solidFill>
              <w14:schemeClr w14:val="accent5"/>
            </w14:solidFill>
          </w14:textFill>
        </w:rPr>
        <w:sectPr>
          <w:pgSz w:w="11906" w:h="16838"/>
          <w:pgMar w:top="1440" w:right="1800" w:bottom="1440" w:left="1800" w:header="1474" w:footer="964" w:gutter="0"/>
          <w:cols w:space="425" w:num="1"/>
          <w:docGrid w:type="lines" w:linePitch="326" w:charSpace="0"/>
        </w:sectPr>
      </w:pPr>
    </w:p>
    <w:p w14:paraId="3D153877">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25" w:name="_Toc189920519"/>
      <w:r>
        <w:rPr>
          <w:rFonts w:hint="eastAsia" w:ascii="黑体" w:hAnsi="黑体" w:eastAsia="黑体" w:cs="Times New Roman"/>
          <w:color w:val="5B9BD5" w:themeColor="accent5"/>
          <w:kern w:val="44"/>
          <w:sz w:val="28"/>
          <w14:textFill>
            <w14:solidFill>
              <w14:schemeClr w14:val="accent5"/>
            </w14:solidFill>
          </w14:textFill>
        </w:rPr>
        <w:t>三</w:t>
      </w:r>
      <w:r>
        <w:rPr>
          <w:rFonts w:ascii="黑体" w:hAnsi="黑体" w:eastAsia="黑体" w:cs="Times New Roman"/>
          <w:color w:val="5B9BD5" w:themeColor="accent5"/>
          <w:kern w:val="44"/>
          <w:sz w:val="28"/>
          <w14:textFill>
            <w14:solidFill>
              <w14:schemeClr w14:val="accent5"/>
            </w14:solidFill>
          </w14:textFill>
        </w:rPr>
        <w:t>、企业动态</w:t>
      </w:r>
      <w:bookmarkEnd w:id="25"/>
    </w:p>
    <w:p w14:paraId="7D05C326">
      <w:pPr>
        <w:pStyle w:val="2"/>
        <w:numPr>
          <w:ilvl w:val="0"/>
          <w:numId w:val="4"/>
        </w:numPr>
        <w:ind w:left="442" w:hanging="442"/>
        <w:rPr>
          <w:rFonts w:hint="eastAsia" w:ascii="仿宋" w:hAnsi="仿宋"/>
          <w:shd w:val="clear" w:color="auto" w:fill="FFFFFF"/>
          <w:lang w:bidi="ar"/>
        </w:rPr>
      </w:pPr>
      <w:bookmarkStart w:id="26" w:name="_Toc173768251"/>
      <w:bookmarkStart w:id="27" w:name="_Toc189920520"/>
      <w:bookmarkStart w:id="28" w:name="_Hlk176338499"/>
      <w:bookmarkStart w:id="29" w:name="_Hlk157771138"/>
      <w:r>
        <w:rPr>
          <w:rFonts w:hint="eastAsia" w:ascii="仿宋" w:hAnsi="仿宋"/>
          <w:shd w:val="clear" w:color="auto" w:fill="FFFFFF"/>
          <w:lang w:bidi="ar"/>
        </w:rPr>
        <w:t>1月青岛成交1幅TOD</w:t>
      </w:r>
      <w:bookmarkEnd w:id="26"/>
      <w:r>
        <w:rPr>
          <w:rFonts w:hint="eastAsia" w:ascii="仿宋" w:hAnsi="仿宋"/>
          <w:shd w:val="clear" w:color="auto" w:fill="FFFFFF"/>
          <w:lang w:bidi="ar"/>
        </w:rPr>
        <w:t>地块，由金茂、保利、青铁联合获得</w:t>
      </w:r>
      <w:bookmarkEnd w:id="27"/>
    </w:p>
    <w:p w14:paraId="1B047517">
      <w:pPr>
        <w:pStyle w:val="48"/>
        <w:ind w:firstLine="480"/>
        <w:rPr>
          <w:rFonts w:hint="eastAsia" w:ascii="仿宋" w:hAnsi="仿宋" w:cs="Arial"/>
          <w:color w:val="222222"/>
          <w:shd w:val="clear" w:color="auto" w:fill="FFFFFF"/>
          <w:lang w:bidi="ar"/>
        </w:rPr>
      </w:pPr>
      <w:r>
        <w:rPr>
          <w:rFonts w:hint="eastAsia" w:ascii="仿宋" w:hAnsi="仿宋"/>
          <w:lang w:bidi="en-US"/>
        </w:rPr>
        <w:t>1月，据不完全统计，青岛成交1幅TOD地块，即</w:t>
      </w:r>
      <w:r>
        <w:rPr>
          <w:rFonts w:hint="eastAsia" w:ascii="仿宋" w:hAnsi="仿宋" w:cs="Arial"/>
          <w:color w:val="222222"/>
          <w:shd w:val="clear" w:color="auto" w:fill="FFFFFF"/>
          <w:lang w:bidi="ar"/>
        </w:rPr>
        <w:t>金茂、保利、青铁三家央国企联合以8.84亿元竞得青岛市南轮渡湾片区SN0102-04地块。该地块位于市南区四川路以西，轮渡地块以北，西邻胶州湾，是主城区稀缺的滨海地块。土地总面积21781.5平方米，规划建筑总面积63166.36平方米，容积率≤2.9。地块将被打造成现代化TOD社区，周边交通便利，生活配套完善。未来，这里将成为青岛城市生活新标杆，提供无风雨出行的便捷生活体验，推动青岛城市功能与品质提升。</w:t>
      </w:r>
    </w:p>
    <w:p w14:paraId="2FE6F8FA">
      <w:pPr>
        <w:ind w:firstLine="482"/>
        <w:jc w:val="center"/>
        <w:rPr>
          <w:rFonts w:hint="eastAsia" w:ascii="仿宋" w:hAnsi="仿宋"/>
          <w:b/>
          <w:bCs/>
        </w:rPr>
      </w:pPr>
      <w:r>
        <w:rPr>
          <w:rFonts w:hint="eastAsia" w:ascii="仿宋" w:hAnsi="仿宋"/>
          <w:b/>
          <w:bCs/>
        </w:rPr>
        <w:t>表：2</w:t>
      </w:r>
      <w:r>
        <w:rPr>
          <w:rFonts w:ascii="仿宋" w:hAnsi="仿宋"/>
          <w:b/>
          <w:bCs/>
        </w:rPr>
        <w:t>02</w:t>
      </w:r>
      <w:r>
        <w:rPr>
          <w:rFonts w:hint="eastAsia" w:ascii="仿宋" w:hAnsi="仿宋"/>
          <w:b/>
          <w:bCs/>
        </w:rPr>
        <w:t>5年1月份典型城市T</w:t>
      </w:r>
      <w:r>
        <w:rPr>
          <w:rFonts w:ascii="仿宋" w:hAnsi="仿宋"/>
          <w:b/>
          <w:bCs/>
        </w:rPr>
        <w:t>OD</w:t>
      </w:r>
      <w:r>
        <w:rPr>
          <w:rFonts w:hint="eastAsia" w:ascii="仿宋" w:hAnsi="仿宋"/>
          <w:b/>
          <w:bCs/>
        </w:rPr>
        <w:t>地块成交信息</w:t>
      </w:r>
    </w:p>
    <w:p w14:paraId="4AEA4A77">
      <w:pPr>
        <w:ind w:firstLine="440"/>
        <w:jc w:val="right"/>
        <w:rPr>
          <w:rFonts w:hint="eastAsia" w:ascii="仿宋" w:hAnsi="仿宋" w:cs="宋体"/>
          <w:kern w:val="0"/>
          <w:sz w:val="21"/>
          <w:szCs w:val="21"/>
        </w:rPr>
      </w:pPr>
      <w:r>
        <w:rPr>
          <w:rFonts w:hint="eastAsia" w:ascii="仿宋" w:hAnsi="仿宋"/>
          <w:sz w:val="22"/>
          <w:szCs w:val="21"/>
        </w:rPr>
        <w:t>单位：</w:t>
      </w:r>
      <w:r>
        <w:rPr>
          <w:rFonts w:hint="eastAsia" w:ascii="仿宋" w:hAnsi="仿宋" w:cs="宋体"/>
          <w:kern w:val="0"/>
          <w:sz w:val="21"/>
          <w:szCs w:val="21"/>
        </w:rPr>
        <w:t>㎡、万元</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1043"/>
        <w:gridCol w:w="1019"/>
        <w:gridCol w:w="1019"/>
        <w:gridCol w:w="1019"/>
        <w:gridCol w:w="873"/>
        <w:gridCol w:w="874"/>
        <w:gridCol w:w="1246"/>
      </w:tblGrid>
      <w:tr w14:paraId="706E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38" w:type="pct"/>
            <w:shd w:val="clear" w:color="auto" w:fill="auto"/>
            <w:noWrap/>
            <w:vAlign w:val="center"/>
          </w:tcPr>
          <w:p w14:paraId="5651E028">
            <w:pPr>
              <w:widowControl/>
              <w:spacing w:line="240" w:lineRule="auto"/>
              <w:ind w:firstLine="0" w:firstLineChars="0"/>
              <w:jc w:val="center"/>
              <w:rPr>
                <w:rFonts w:hint="eastAsia" w:ascii="仿宋" w:hAnsi="仿宋" w:cs="宋体"/>
                <w:kern w:val="0"/>
                <w:sz w:val="22"/>
              </w:rPr>
            </w:pPr>
            <w:r>
              <w:rPr>
                <w:rFonts w:hint="eastAsia" w:ascii="仿宋" w:hAnsi="仿宋" w:cs="宋体"/>
                <w:kern w:val="0"/>
                <w:sz w:val="22"/>
              </w:rPr>
              <w:t>土地名称</w:t>
            </w:r>
          </w:p>
        </w:tc>
        <w:tc>
          <w:tcPr>
            <w:tcW w:w="612" w:type="pct"/>
            <w:shd w:val="clear" w:color="auto" w:fill="auto"/>
            <w:noWrap/>
            <w:vAlign w:val="center"/>
          </w:tcPr>
          <w:p w14:paraId="1E115106">
            <w:pPr>
              <w:widowControl/>
              <w:spacing w:line="240" w:lineRule="auto"/>
              <w:ind w:firstLine="0" w:firstLineChars="0"/>
              <w:jc w:val="center"/>
              <w:rPr>
                <w:rFonts w:hint="eastAsia" w:ascii="仿宋" w:hAnsi="仿宋" w:cs="宋体"/>
                <w:kern w:val="0"/>
                <w:sz w:val="22"/>
              </w:rPr>
            </w:pPr>
            <w:r>
              <w:rPr>
                <w:rFonts w:hint="eastAsia" w:ascii="仿宋" w:hAnsi="仿宋" w:cs="宋体"/>
                <w:kern w:val="0"/>
                <w:sz w:val="22"/>
              </w:rPr>
              <w:t>城市</w:t>
            </w:r>
          </w:p>
        </w:tc>
        <w:tc>
          <w:tcPr>
            <w:tcW w:w="598" w:type="pct"/>
            <w:shd w:val="clear" w:color="auto" w:fill="auto"/>
            <w:noWrap/>
            <w:vAlign w:val="center"/>
          </w:tcPr>
          <w:p w14:paraId="195E1BA3">
            <w:pPr>
              <w:widowControl/>
              <w:spacing w:line="240" w:lineRule="auto"/>
              <w:ind w:firstLine="0" w:firstLineChars="0"/>
              <w:jc w:val="center"/>
              <w:rPr>
                <w:rFonts w:hint="eastAsia" w:ascii="仿宋" w:hAnsi="仿宋" w:cs="宋体"/>
                <w:kern w:val="0"/>
                <w:sz w:val="22"/>
              </w:rPr>
            </w:pPr>
            <w:r>
              <w:rPr>
                <w:rFonts w:hint="eastAsia" w:ascii="仿宋" w:hAnsi="仿宋" w:cs="宋体"/>
                <w:kern w:val="0"/>
                <w:sz w:val="22"/>
              </w:rPr>
              <w:t>土地属性</w:t>
            </w:r>
          </w:p>
        </w:tc>
        <w:tc>
          <w:tcPr>
            <w:tcW w:w="598" w:type="pct"/>
            <w:shd w:val="clear" w:color="auto" w:fill="auto"/>
            <w:noWrap/>
            <w:vAlign w:val="center"/>
          </w:tcPr>
          <w:p w14:paraId="4A57087E">
            <w:pPr>
              <w:widowControl/>
              <w:spacing w:line="240" w:lineRule="auto"/>
              <w:ind w:firstLine="0" w:firstLineChars="0"/>
              <w:jc w:val="center"/>
              <w:rPr>
                <w:rFonts w:hint="eastAsia" w:ascii="仿宋" w:hAnsi="仿宋" w:cs="宋体"/>
                <w:kern w:val="0"/>
                <w:sz w:val="22"/>
              </w:rPr>
            </w:pPr>
            <w:r>
              <w:rPr>
                <w:rFonts w:hint="eastAsia" w:ascii="仿宋" w:hAnsi="仿宋" w:cs="宋体"/>
                <w:kern w:val="0"/>
                <w:sz w:val="22"/>
              </w:rPr>
              <w:t>用地面积</w:t>
            </w:r>
          </w:p>
        </w:tc>
        <w:tc>
          <w:tcPr>
            <w:tcW w:w="598" w:type="pct"/>
            <w:shd w:val="clear" w:color="auto" w:fill="auto"/>
            <w:noWrap/>
            <w:vAlign w:val="center"/>
          </w:tcPr>
          <w:p w14:paraId="07EDA02B">
            <w:pPr>
              <w:widowControl/>
              <w:spacing w:line="240" w:lineRule="auto"/>
              <w:ind w:firstLine="0" w:firstLineChars="0"/>
              <w:jc w:val="center"/>
              <w:rPr>
                <w:rFonts w:hint="eastAsia" w:ascii="仿宋" w:hAnsi="仿宋" w:cs="宋体"/>
                <w:kern w:val="0"/>
                <w:sz w:val="22"/>
              </w:rPr>
            </w:pPr>
            <w:r>
              <w:rPr>
                <w:rFonts w:hint="eastAsia" w:ascii="仿宋" w:hAnsi="仿宋" w:cs="宋体"/>
                <w:kern w:val="0"/>
                <w:sz w:val="22"/>
              </w:rPr>
              <w:t>规划建面</w:t>
            </w:r>
          </w:p>
        </w:tc>
        <w:tc>
          <w:tcPr>
            <w:tcW w:w="512" w:type="pct"/>
            <w:shd w:val="clear" w:color="auto" w:fill="auto"/>
            <w:noWrap/>
            <w:vAlign w:val="center"/>
          </w:tcPr>
          <w:p w14:paraId="422655A8">
            <w:pPr>
              <w:widowControl/>
              <w:spacing w:line="240" w:lineRule="auto"/>
              <w:ind w:firstLine="0" w:firstLineChars="0"/>
              <w:jc w:val="center"/>
              <w:rPr>
                <w:rFonts w:hint="eastAsia" w:ascii="仿宋" w:hAnsi="仿宋" w:cs="宋体"/>
                <w:kern w:val="0"/>
                <w:sz w:val="22"/>
              </w:rPr>
            </w:pPr>
            <w:r>
              <w:rPr>
                <w:rFonts w:hint="eastAsia" w:ascii="仿宋" w:hAnsi="仿宋" w:cs="宋体"/>
                <w:kern w:val="0"/>
                <w:sz w:val="22"/>
              </w:rPr>
              <w:t>成交总价</w:t>
            </w:r>
          </w:p>
        </w:tc>
        <w:tc>
          <w:tcPr>
            <w:tcW w:w="513" w:type="pct"/>
            <w:shd w:val="clear" w:color="auto" w:fill="auto"/>
            <w:noWrap/>
            <w:vAlign w:val="center"/>
          </w:tcPr>
          <w:p w14:paraId="47D9B3A8">
            <w:pPr>
              <w:widowControl/>
              <w:spacing w:line="240" w:lineRule="auto"/>
              <w:ind w:firstLine="0" w:firstLineChars="0"/>
              <w:jc w:val="center"/>
              <w:rPr>
                <w:rFonts w:hint="eastAsia" w:ascii="仿宋" w:hAnsi="仿宋" w:cs="宋体"/>
                <w:kern w:val="0"/>
                <w:sz w:val="22"/>
              </w:rPr>
            </w:pPr>
            <w:r>
              <w:rPr>
                <w:rFonts w:hint="eastAsia" w:ascii="仿宋" w:hAnsi="仿宋" w:cs="宋体"/>
                <w:kern w:val="0"/>
                <w:sz w:val="22"/>
              </w:rPr>
              <w:t>成交日期</w:t>
            </w:r>
          </w:p>
        </w:tc>
        <w:tc>
          <w:tcPr>
            <w:tcW w:w="731" w:type="pct"/>
            <w:shd w:val="clear" w:color="auto" w:fill="auto"/>
            <w:noWrap/>
            <w:vAlign w:val="center"/>
          </w:tcPr>
          <w:p w14:paraId="4C9AF9D2">
            <w:pPr>
              <w:widowControl/>
              <w:spacing w:line="240" w:lineRule="auto"/>
              <w:ind w:firstLine="0" w:firstLineChars="0"/>
              <w:jc w:val="center"/>
              <w:rPr>
                <w:rFonts w:hint="eastAsia" w:ascii="仿宋" w:hAnsi="仿宋" w:cs="宋体"/>
                <w:kern w:val="0"/>
                <w:sz w:val="22"/>
              </w:rPr>
            </w:pPr>
            <w:r>
              <w:rPr>
                <w:rFonts w:hint="eastAsia" w:ascii="仿宋" w:hAnsi="仿宋" w:cs="宋体"/>
                <w:kern w:val="0"/>
                <w:sz w:val="22"/>
              </w:rPr>
              <w:t>受让方</w:t>
            </w:r>
          </w:p>
        </w:tc>
      </w:tr>
      <w:tr w14:paraId="479A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838" w:type="pct"/>
            <w:shd w:val="clear" w:color="auto" w:fill="auto"/>
            <w:noWrap/>
            <w:vAlign w:val="center"/>
          </w:tcPr>
          <w:p w14:paraId="0A7E0E74">
            <w:pPr>
              <w:widowControl/>
              <w:spacing w:line="240" w:lineRule="auto"/>
              <w:ind w:firstLine="0" w:firstLineChars="0"/>
              <w:jc w:val="center"/>
              <w:rPr>
                <w:rFonts w:hint="eastAsia" w:ascii="仿宋" w:hAnsi="仿宋" w:cs="Arial"/>
                <w:kern w:val="0"/>
                <w:sz w:val="22"/>
              </w:rPr>
            </w:pPr>
            <w:r>
              <w:rPr>
                <w:rFonts w:hint="eastAsia" w:ascii="仿宋" w:hAnsi="仿宋" w:cs="Arial"/>
                <w:kern w:val="0"/>
                <w:sz w:val="22"/>
              </w:rPr>
              <w:t>市南区轮渡湾片区</w:t>
            </w:r>
            <w:r>
              <w:rPr>
                <w:rFonts w:ascii="仿宋" w:hAnsi="仿宋" w:cs="Arial"/>
                <w:kern w:val="0"/>
                <w:sz w:val="22"/>
              </w:rPr>
              <w:t>SN0102-04</w:t>
            </w:r>
            <w:r>
              <w:rPr>
                <w:rFonts w:hint="eastAsia" w:ascii="仿宋" w:hAnsi="仿宋" w:cs="Arial"/>
                <w:kern w:val="0"/>
                <w:sz w:val="22"/>
              </w:rPr>
              <w:t>地块</w:t>
            </w:r>
            <w:r>
              <w:rPr>
                <w:rFonts w:ascii="仿宋" w:hAnsi="仿宋" w:cs="Arial"/>
                <w:kern w:val="0"/>
                <w:sz w:val="22"/>
              </w:rPr>
              <w:t>370202004005GB00046W00000000</w:t>
            </w:r>
          </w:p>
        </w:tc>
        <w:tc>
          <w:tcPr>
            <w:tcW w:w="612" w:type="pct"/>
            <w:shd w:val="clear" w:color="auto" w:fill="auto"/>
            <w:noWrap/>
            <w:vAlign w:val="center"/>
          </w:tcPr>
          <w:p w14:paraId="20FD30A4">
            <w:pPr>
              <w:widowControl/>
              <w:spacing w:line="240" w:lineRule="auto"/>
              <w:ind w:firstLine="0" w:firstLineChars="0"/>
              <w:jc w:val="center"/>
              <w:rPr>
                <w:rFonts w:hint="eastAsia" w:ascii="仿宋" w:hAnsi="仿宋" w:cs="Arial"/>
                <w:kern w:val="0"/>
                <w:sz w:val="22"/>
              </w:rPr>
            </w:pPr>
            <w:r>
              <w:rPr>
                <w:rFonts w:ascii="仿宋" w:hAnsi="仿宋" w:cs="Arial"/>
                <w:kern w:val="0"/>
                <w:sz w:val="22"/>
              </w:rPr>
              <w:t>青岛</w:t>
            </w:r>
          </w:p>
        </w:tc>
        <w:tc>
          <w:tcPr>
            <w:tcW w:w="598" w:type="pct"/>
            <w:shd w:val="clear" w:color="auto" w:fill="auto"/>
            <w:noWrap/>
            <w:vAlign w:val="center"/>
          </w:tcPr>
          <w:p w14:paraId="2C3FB568">
            <w:pPr>
              <w:widowControl/>
              <w:spacing w:line="240" w:lineRule="auto"/>
              <w:ind w:firstLine="0" w:firstLineChars="0"/>
              <w:jc w:val="center"/>
              <w:rPr>
                <w:rFonts w:hint="eastAsia" w:ascii="仿宋" w:hAnsi="仿宋" w:cs="Arial"/>
                <w:kern w:val="0"/>
                <w:sz w:val="22"/>
              </w:rPr>
            </w:pPr>
            <w:r>
              <w:rPr>
                <w:rFonts w:ascii="仿宋" w:hAnsi="仿宋" w:cs="Arial"/>
                <w:kern w:val="0"/>
                <w:sz w:val="22"/>
              </w:rPr>
              <w:t>纯住宅</w:t>
            </w:r>
          </w:p>
        </w:tc>
        <w:tc>
          <w:tcPr>
            <w:tcW w:w="598" w:type="pct"/>
            <w:shd w:val="clear" w:color="auto" w:fill="auto"/>
            <w:noWrap/>
            <w:vAlign w:val="center"/>
          </w:tcPr>
          <w:p w14:paraId="231F289B">
            <w:pPr>
              <w:widowControl/>
              <w:spacing w:line="240" w:lineRule="auto"/>
              <w:ind w:firstLine="0" w:firstLineChars="0"/>
              <w:jc w:val="center"/>
              <w:rPr>
                <w:rFonts w:hint="eastAsia" w:ascii="仿宋" w:hAnsi="仿宋" w:cs="Arial"/>
                <w:kern w:val="0"/>
                <w:sz w:val="22"/>
              </w:rPr>
            </w:pPr>
            <w:r>
              <w:rPr>
                <w:rFonts w:ascii="仿宋" w:hAnsi="仿宋" w:cs="Arial"/>
                <w:kern w:val="0"/>
                <w:sz w:val="22"/>
              </w:rPr>
              <w:t>21738</w:t>
            </w:r>
          </w:p>
        </w:tc>
        <w:tc>
          <w:tcPr>
            <w:tcW w:w="598" w:type="pct"/>
            <w:shd w:val="clear" w:color="auto" w:fill="auto"/>
            <w:noWrap/>
            <w:vAlign w:val="center"/>
          </w:tcPr>
          <w:p w14:paraId="7D658345">
            <w:pPr>
              <w:widowControl/>
              <w:spacing w:line="240" w:lineRule="auto"/>
              <w:ind w:firstLine="0" w:firstLineChars="0"/>
              <w:jc w:val="center"/>
              <w:rPr>
                <w:rFonts w:hint="eastAsia" w:ascii="仿宋" w:hAnsi="仿宋" w:cs="Arial"/>
                <w:kern w:val="0"/>
                <w:sz w:val="22"/>
              </w:rPr>
            </w:pPr>
            <w:r>
              <w:rPr>
                <w:rFonts w:ascii="仿宋" w:hAnsi="仿宋" w:cs="Arial"/>
                <w:kern w:val="0"/>
                <w:sz w:val="22"/>
              </w:rPr>
              <w:t>63041</w:t>
            </w:r>
          </w:p>
        </w:tc>
        <w:tc>
          <w:tcPr>
            <w:tcW w:w="512" w:type="pct"/>
            <w:shd w:val="clear" w:color="auto" w:fill="auto"/>
            <w:noWrap/>
            <w:vAlign w:val="center"/>
          </w:tcPr>
          <w:p w14:paraId="3A69DA6A">
            <w:pPr>
              <w:widowControl/>
              <w:spacing w:line="240" w:lineRule="auto"/>
              <w:ind w:firstLine="0" w:firstLineChars="0"/>
              <w:jc w:val="center"/>
              <w:rPr>
                <w:rFonts w:hint="eastAsia" w:ascii="仿宋" w:hAnsi="仿宋" w:cs="Arial"/>
                <w:kern w:val="0"/>
                <w:sz w:val="22"/>
              </w:rPr>
            </w:pPr>
            <w:r>
              <w:rPr>
                <w:rFonts w:ascii="仿宋" w:hAnsi="仿宋" w:cs="Arial"/>
                <w:kern w:val="0"/>
                <w:sz w:val="22"/>
              </w:rPr>
              <w:t>88384</w:t>
            </w:r>
          </w:p>
        </w:tc>
        <w:tc>
          <w:tcPr>
            <w:tcW w:w="513" w:type="pct"/>
            <w:shd w:val="clear" w:color="auto" w:fill="auto"/>
            <w:noWrap/>
            <w:vAlign w:val="center"/>
          </w:tcPr>
          <w:p w14:paraId="7CE747A6">
            <w:pPr>
              <w:widowControl/>
              <w:spacing w:line="240" w:lineRule="auto"/>
              <w:ind w:firstLine="0" w:firstLineChars="0"/>
              <w:jc w:val="center"/>
              <w:rPr>
                <w:rFonts w:hint="eastAsia" w:ascii="仿宋" w:hAnsi="仿宋" w:cs="Arial"/>
                <w:kern w:val="0"/>
                <w:sz w:val="22"/>
              </w:rPr>
            </w:pPr>
            <w:r>
              <w:rPr>
                <w:rFonts w:ascii="仿宋" w:hAnsi="仿宋" w:cs="Arial"/>
                <w:kern w:val="0"/>
                <w:sz w:val="22"/>
              </w:rPr>
              <w:t>01-26</w:t>
            </w:r>
          </w:p>
        </w:tc>
        <w:tc>
          <w:tcPr>
            <w:tcW w:w="731" w:type="pct"/>
            <w:shd w:val="clear" w:color="auto" w:fill="auto"/>
            <w:noWrap/>
            <w:vAlign w:val="center"/>
          </w:tcPr>
          <w:p w14:paraId="5FEDF9F0">
            <w:pPr>
              <w:widowControl/>
              <w:spacing w:line="240" w:lineRule="auto"/>
              <w:ind w:firstLine="0" w:firstLineChars="0"/>
              <w:jc w:val="center"/>
              <w:rPr>
                <w:rFonts w:hint="eastAsia" w:ascii="仿宋" w:hAnsi="仿宋" w:cs="Arial"/>
                <w:kern w:val="0"/>
                <w:sz w:val="22"/>
              </w:rPr>
            </w:pPr>
            <w:r>
              <w:rPr>
                <w:rFonts w:hint="eastAsia" w:ascii="仿宋" w:hAnsi="仿宋" w:cs="Arial"/>
                <w:kern w:val="0"/>
                <w:sz w:val="22"/>
              </w:rPr>
              <w:t>中国金茂</w:t>
            </w:r>
            <w:r>
              <w:rPr>
                <w:rFonts w:ascii="仿宋" w:hAnsi="仿宋" w:cs="Arial"/>
                <w:kern w:val="0"/>
                <w:sz w:val="22"/>
              </w:rPr>
              <w:t>(</w:t>
            </w:r>
            <w:r>
              <w:rPr>
                <w:rFonts w:hint="eastAsia" w:ascii="仿宋" w:hAnsi="仿宋" w:cs="Arial"/>
                <w:kern w:val="0"/>
                <w:sz w:val="22"/>
              </w:rPr>
              <w:t>集团</w:t>
            </w:r>
            <w:r>
              <w:rPr>
                <w:rFonts w:ascii="仿宋" w:hAnsi="仿宋" w:cs="Arial"/>
                <w:kern w:val="0"/>
                <w:sz w:val="22"/>
              </w:rPr>
              <w:t>)</w:t>
            </w:r>
            <w:r>
              <w:rPr>
                <w:rFonts w:hint="eastAsia" w:ascii="仿宋" w:hAnsi="仿宋" w:cs="Arial"/>
                <w:kern w:val="0"/>
                <w:sz w:val="22"/>
              </w:rPr>
              <w:t>有限公司</w:t>
            </w:r>
            <w:r>
              <w:rPr>
                <w:rFonts w:ascii="仿宋" w:hAnsi="仿宋" w:cs="Arial"/>
                <w:kern w:val="0"/>
                <w:sz w:val="22"/>
              </w:rPr>
              <w:t>,</w:t>
            </w:r>
            <w:r>
              <w:rPr>
                <w:rFonts w:hint="eastAsia" w:ascii="仿宋" w:hAnsi="仿宋" w:cs="Arial"/>
                <w:kern w:val="0"/>
                <w:sz w:val="22"/>
              </w:rPr>
              <w:t>青岛地铁集团有限公司</w:t>
            </w:r>
            <w:r>
              <w:rPr>
                <w:rFonts w:ascii="仿宋" w:hAnsi="仿宋" w:cs="Arial"/>
                <w:kern w:val="0"/>
                <w:sz w:val="22"/>
              </w:rPr>
              <w:t>,</w:t>
            </w:r>
            <w:r>
              <w:rPr>
                <w:rFonts w:hint="eastAsia" w:ascii="仿宋" w:hAnsi="仿宋" w:cs="Arial"/>
                <w:kern w:val="0"/>
                <w:sz w:val="22"/>
              </w:rPr>
              <w:t>保利发展控股集团股份有限公司</w:t>
            </w:r>
          </w:p>
        </w:tc>
      </w:tr>
    </w:tbl>
    <w:p w14:paraId="5012E7CB">
      <w:pPr>
        <w:widowControl/>
        <w:shd w:val="clear" w:color="auto" w:fill="FFFFFF"/>
        <w:ind w:firstLine="420"/>
        <w:rPr>
          <w:rFonts w:hint="eastAsia" w:ascii="仿宋" w:hAnsi="仿宋" w:cs="Arial"/>
          <w:color w:val="222222"/>
          <w:sz w:val="21"/>
          <w:szCs w:val="20"/>
          <w:shd w:val="clear" w:color="auto" w:fill="FFFFFF"/>
          <w:lang w:bidi="ar"/>
        </w:rPr>
      </w:pPr>
      <w:r>
        <w:rPr>
          <w:rFonts w:hint="eastAsia" w:ascii="仿宋" w:hAnsi="仿宋" w:cs="Arial"/>
          <w:color w:val="222222"/>
          <w:sz w:val="21"/>
          <w:szCs w:val="20"/>
          <w:shd w:val="clear" w:color="auto" w:fill="FFFFFF"/>
          <w:lang w:bidi="ar"/>
        </w:rPr>
        <w:t>数据来源：C</w:t>
      </w:r>
      <w:r>
        <w:rPr>
          <w:rFonts w:ascii="仿宋" w:hAnsi="仿宋" w:cs="Arial"/>
          <w:color w:val="222222"/>
          <w:sz w:val="21"/>
          <w:szCs w:val="20"/>
          <w:shd w:val="clear" w:color="auto" w:fill="FFFFFF"/>
          <w:lang w:bidi="ar"/>
        </w:rPr>
        <w:t>RIC</w:t>
      </w:r>
      <w:r>
        <w:rPr>
          <w:rFonts w:hint="eastAsia" w:ascii="仿宋" w:hAnsi="仿宋" w:cs="Arial"/>
          <w:color w:val="222222"/>
          <w:sz w:val="21"/>
          <w:szCs w:val="20"/>
          <w:shd w:val="clear" w:color="auto" w:fill="FFFFFF"/>
          <w:lang w:bidi="ar"/>
        </w:rPr>
        <w:t>、易居研究院</w:t>
      </w:r>
    </w:p>
    <w:bookmarkEnd w:id="28"/>
    <w:p w14:paraId="49FC349A">
      <w:pPr>
        <w:pStyle w:val="2"/>
        <w:numPr>
          <w:ilvl w:val="0"/>
          <w:numId w:val="4"/>
        </w:numPr>
        <w:rPr>
          <w:rFonts w:hint="eastAsia" w:ascii="仿宋" w:hAnsi="仿宋" w:cs="Arial"/>
          <w:color w:val="222222"/>
          <w:kern w:val="0"/>
          <w:szCs w:val="24"/>
          <w:shd w:val="clear" w:color="auto" w:fill="FFFFFF"/>
          <w:lang w:bidi="ar"/>
        </w:rPr>
      </w:pPr>
      <w:bookmarkStart w:id="30" w:name="_Toc189920521"/>
      <w:r>
        <w:rPr>
          <w:rFonts w:ascii="仿宋" w:hAnsi="仿宋" w:cs="Arial"/>
          <w:color w:val="222222"/>
          <w:kern w:val="0"/>
          <w:szCs w:val="24"/>
          <w:shd w:val="clear" w:color="auto" w:fill="FFFFFF"/>
          <w:lang w:bidi="ar"/>
        </w:rPr>
        <w:t>南昌轨道分中心收储青山湖区枫下成村项目</w:t>
      </w:r>
      <w:bookmarkEnd w:id="30"/>
    </w:p>
    <w:p w14:paraId="6B7ACBA3">
      <w:pPr>
        <w:pStyle w:val="48"/>
        <w:ind w:firstLine="480"/>
        <w:rPr>
          <w:rFonts w:hint="eastAsia" w:ascii="仿宋" w:hAnsi="仿宋"/>
          <w:lang w:bidi="en-US"/>
        </w:rPr>
      </w:pPr>
      <w:r>
        <w:rPr>
          <w:rFonts w:ascii="仿宋" w:hAnsi="仿宋"/>
          <w:lang w:bidi="en-US"/>
        </w:rPr>
        <w:t>1月7日，南昌市土地储备中心发布消息，南昌轨道交通集团完成青山湖区枫下成村项目国土土地收储协议签订。该项目位于广州路与深圳路交汇处东北角，收储面积约127亩，采取“农房货币化”+“房票”安置补偿方式。该项目一方面推进城中村改造，另一方面结合枫下停车场盖板用地，促进TOD综合开发，提升土地价值，为轨道建设提供资金保障。</w:t>
      </w:r>
    </w:p>
    <w:p w14:paraId="60E3284B">
      <w:pPr>
        <w:pStyle w:val="48"/>
        <w:ind w:firstLine="0" w:firstLineChars="0"/>
        <w:jc w:val="center"/>
        <w:rPr>
          <w:rFonts w:hint="eastAsia" w:ascii="仿宋" w:hAnsi="仿宋"/>
          <w:lang w:bidi="en-US"/>
        </w:rPr>
      </w:pPr>
      <w:r>
        <w:rPr>
          <w:rFonts w:ascii="仿宋" w:hAnsi="仿宋" w:cs="宋体"/>
          <w:lang w:bidi="ar"/>
        </w:rPr>
        <w:fldChar w:fldCharType="begin"/>
      </w:r>
      <w:r>
        <w:rPr>
          <w:rFonts w:ascii="仿宋" w:hAnsi="仿宋" w:cs="宋体"/>
          <w:lang w:bidi="ar"/>
        </w:rPr>
        <w:instrText xml:space="preserve">INCLUDEPICTURE \d "https://mmbiz.qpic.cn/sz_mmbiz_png/vApGlM2TFDtG5DcKGqjPXib2mnX3ibEjiaNaoMZ863OkpnmY6tDk8S7NeWMCvGMu4DJ0ZiahgXUBYwH3ZInYp1HjbQ/640?wx_fmt=png&amp;wxfrom=13" \* MERGEFORMATINET </w:instrText>
      </w:r>
      <w:r>
        <w:rPr>
          <w:rFonts w:ascii="仿宋" w:hAnsi="仿宋" w:cs="宋体"/>
          <w:lang w:bidi="ar"/>
        </w:rPr>
        <w:fldChar w:fldCharType="separate"/>
      </w:r>
      <w:r>
        <w:rPr>
          <w:rFonts w:hint="eastAsia" w:ascii="仿宋" w:hAnsi="仿宋" w:cs="宋体"/>
          <w:lang w:bidi="ar"/>
        </w:rPr>
        <w:fldChar w:fldCharType="begin"/>
      </w:r>
      <w:r>
        <w:rPr>
          <w:rFonts w:hint="eastAsia" w:ascii="仿宋" w:hAnsi="仿宋" w:cs="宋体"/>
          <w:lang w:bidi="ar"/>
        </w:rPr>
        <w:instrText xml:space="preserve"> INCLUDEPICTURE  "https://mmbiz.qpic.cn/sz_mmbiz_png/vApGlM2TFDtG5DcKGqjPXib2mnX3ibEjiaNaoMZ863OkpnmY6tDk8S7NeWMCvGMu4DJ0ZiahgXUBYwH3ZInYp1HjbQ/640?wx_fmt=png&amp;wxfrom=13" \* MERGEFORMATINET </w:instrText>
      </w:r>
      <w:r>
        <w:rPr>
          <w:rFonts w:hint="eastAsia" w:ascii="仿宋" w:hAnsi="仿宋" w:cs="宋体"/>
          <w:lang w:bidi="ar"/>
        </w:rPr>
        <w:fldChar w:fldCharType="separate"/>
      </w:r>
      <w:r>
        <w:rPr>
          <w:rFonts w:ascii="仿宋" w:hAnsi="仿宋" w:cs="宋体"/>
          <w:lang w:bidi="ar"/>
        </w:rPr>
        <w:pict>
          <v:shape id="_x0000_i1025" o:spt="75" alt="IMG_256" type="#_x0000_t75" style="height:170.05pt;width:285.25pt;" filled="f" o:preferrelative="t" stroked="f" coordsize="21600,21600">
            <v:path/>
            <v:fill on="f" focussize="0,0"/>
            <v:stroke on="f" joinstyle="miter"/>
            <v:imagedata r:id="rId15" r:href="rId16" o:title=""/>
            <o:lock v:ext="edit" aspectratio="t"/>
            <w10:wrap type="none"/>
            <w10:anchorlock/>
          </v:shape>
        </w:pict>
      </w:r>
      <w:r>
        <w:rPr>
          <w:rFonts w:hint="eastAsia" w:ascii="仿宋" w:hAnsi="仿宋" w:cs="宋体"/>
          <w:lang w:bidi="ar"/>
        </w:rPr>
        <w:fldChar w:fldCharType="end"/>
      </w:r>
      <w:r>
        <w:rPr>
          <w:rFonts w:ascii="仿宋" w:hAnsi="仿宋" w:cs="宋体"/>
          <w:lang w:bidi="ar"/>
        </w:rPr>
        <w:fldChar w:fldCharType="end"/>
      </w:r>
    </w:p>
    <w:p w14:paraId="4EE10A17">
      <w:pPr>
        <w:pStyle w:val="2"/>
        <w:numPr>
          <w:ilvl w:val="0"/>
          <w:numId w:val="4"/>
        </w:numPr>
        <w:ind w:left="442" w:hanging="442"/>
        <w:rPr>
          <w:rFonts w:hint="eastAsia" w:ascii="仿宋" w:hAnsi="仿宋"/>
          <w:shd w:val="clear" w:color="auto" w:fill="FFFFFF"/>
          <w:lang w:bidi="ar"/>
        </w:rPr>
      </w:pPr>
      <w:bookmarkStart w:id="31" w:name="_Toc189920522"/>
      <w:r>
        <w:rPr>
          <w:rFonts w:hint="eastAsia" w:ascii="仿宋" w:hAnsi="仿宋"/>
          <w:shd w:val="clear" w:color="auto" w:fill="FFFFFF"/>
          <w:lang w:bidi="ar"/>
        </w:rPr>
        <w:t>济南轨道交通集团与合生商业集团签署战略合作协议</w:t>
      </w:r>
      <w:bookmarkEnd w:id="31"/>
    </w:p>
    <w:p w14:paraId="78FE9205">
      <w:pPr>
        <w:pStyle w:val="21"/>
        <w:spacing w:before="0" w:beforeAutospacing="0" w:after="0" w:afterAutospacing="0" w:line="360" w:lineRule="auto"/>
        <w:ind w:firstLine="480"/>
        <w:rPr>
          <w:rFonts w:hint="eastAsia" w:ascii="仿宋" w:hAnsi="仿宋" w:eastAsia="仿宋" w:cs="Arial"/>
          <w:color w:val="222222"/>
          <w:shd w:val="clear" w:color="auto" w:fill="FFFFFF"/>
          <w:lang w:bidi="ar"/>
        </w:rPr>
      </w:pPr>
      <w:r>
        <w:rPr>
          <w:rFonts w:hint="eastAsia" w:ascii="仿宋" w:hAnsi="仿宋" w:eastAsia="仿宋" w:cs="Arial"/>
          <w:color w:val="222222"/>
          <w:shd w:val="clear" w:color="auto" w:fill="FFFFFF"/>
          <w:lang w:bidi="ar"/>
        </w:rPr>
        <w:t>1月14日，济南轨道交通集团与合生商业集团签署战略合作协议。合生商业集团作为知名商业不动产投资与运营平台，此次合作将充分发挥双方优势，在商业综合体、产业综合体及酒店公寓管理等领域开展深层次合作。济南轨道交通集团将依托自身TOD综合开发优势，与合生商业集团共同推动济南轨道交通产业发展，提升新东站片区承载力与吸引力，为济南经济社会发展注入新动力。</w:t>
      </w:r>
    </w:p>
    <w:p w14:paraId="0F01C36A">
      <w:pPr>
        <w:pStyle w:val="48"/>
        <w:ind w:firstLine="480"/>
        <w:rPr>
          <w:shd w:val="clear" w:color="auto" w:fill="FFFFFF"/>
          <w:lang w:bidi="ar"/>
        </w:rPr>
      </w:pPr>
    </w:p>
    <w:bookmarkEnd w:id="29"/>
    <w:p w14:paraId="2E5AAB6F">
      <w:pPr>
        <w:ind w:firstLine="480"/>
        <w:rPr>
          <w:rFonts w:hint="eastAsia" w:ascii="仿宋" w:hAnsi="仿宋"/>
        </w:rPr>
        <w:sectPr>
          <w:pgSz w:w="11906" w:h="16838"/>
          <w:pgMar w:top="1440" w:right="1800" w:bottom="1440" w:left="1800" w:header="1474" w:footer="964" w:gutter="0"/>
          <w:cols w:space="425" w:num="1"/>
          <w:docGrid w:type="lines" w:linePitch="326" w:charSpace="0"/>
        </w:sectPr>
      </w:pPr>
    </w:p>
    <w:p w14:paraId="65ECF687">
      <w:pPr>
        <w:pStyle w:val="2"/>
        <w:keepLines/>
        <w:widowControl w:val="0"/>
        <w:spacing w:before="163" w:after="163"/>
        <w:jc w:val="center"/>
        <w:rPr>
          <w:rFonts w:hint="eastAsia" w:ascii="黑体" w:hAnsi="黑体" w:eastAsia="黑体" w:cs="Times New Roman"/>
          <w:color w:val="5B9BD5" w:themeColor="accent5"/>
          <w:kern w:val="44"/>
          <w:sz w:val="28"/>
          <w14:textFill>
            <w14:solidFill>
              <w14:schemeClr w14:val="accent5"/>
            </w14:solidFill>
          </w14:textFill>
        </w:rPr>
      </w:pPr>
      <w:bookmarkStart w:id="32" w:name="_Toc189920523"/>
      <w:r>
        <w:rPr>
          <w:rFonts w:hint="eastAsia" w:ascii="黑体" w:hAnsi="黑体" w:eastAsia="黑体" w:cs="Times New Roman"/>
          <w:color w:val="5B9BD5" w:themeColor="accent5"/>
          <w:kern w:val="44"/>
          <w:sz w:val="28"/>
          <w14:textFill>
            <w14:solidFill>
              <w14:schemeClr w14:val="accent5"/>
            </w14:solidFill>
          </w14:textFill>
        </w:rPr>
        <w:t>四</w:t>
      </w:r>
      <w:r>
        <w:rPr>
          <w:rFonts w:ascii="黑体" w:hAnsi="黑体" w:eastAsia="黑体" w:cs="Times New Roman"/>
          <w:color w:val="5B9BD5" w:themeColor="accent5"/>
          <w:kern w:val="44"/>
          <w:sz w:val="28"/>
          <w14:textFill>
            <w14:solidFill>
              <w14:schemeClr w14:val="accent5"/>
            </w14:solidFill>
          </w14:textFill>
        </w:rPr>
        <w:t>、项目动态</w:t>
      </w:r>
      <w:bookmarkEnd w:id="32"/>
    </w:p>
    <w:p w14:paraId="6D7694F8">
      <w:pPr>
        <w:pStyle w:val="2"/>
        <w:numPr>
          <w:ilvl w:val="0"/>
          <w:numId w:val="4"/>
        </w:numPr>
        <w:rPr>
          <w:rFonts w:hint="eastAsia" w:ascii="仿宋" w:hAnsi="仿宋" w:cs="Arial"/>
          <w:color w:val="222222"/>
          <w:kern w:val="0"/>
          <w:szCs w:val="24"/>
          <w:shd w:val="clear" w:color="auto" w:fill="FFFFFF"/>
          <w:lang w:bidi="ar"/>
        </w:rPr>
      </w:pPr>
      <w:bookmarkStart w:id="33" w:name="_Toc189920524"/>
      <w:r>
        <w:rPr>
          <w:rFonts w:ascii="仿宋" w:hAnsi="仿宋" w:cs="Arial"/>
          <w:color w:val="222222"/>
          <w:kern w:val="0"/>
          <w:szCs w:val="24"/>
          <w:shd w:val="clear" w:color="auto" w:fill="FFFFFF"/>
          <w:lang w:bidi="ar"/>
        </w:rPr>
        <w:t>南京首个公交场站TOD项目亮相</w:t>
      </w:r>
      <w:bookmarkEnd w:id="33"/>
    </w:p>
    <w:p w14:paraId="793DEA52">
      <w:pPr>
        <w:pStyle w:val="48"/>
        <w:ind w:firstLine="480"/>
        <w:rPr>
          <w:rFonts w:hint="eastAsia" w:ascii="仿宋" w:hAnsi="仿宋"/>
          <w:lang w:bidi="en-US"/>
        </w:rPr>
      </w:pPr>
      <w:r>
        <w:rPr>
          <w:rFonts w:ascii="仿宋" w:hAnsi="仿宋"/>
          <w:lang w:bidi="en-US"/>
        </w:rPr>
        <w:t>新年伊始，南京市首个公交场站TOD项目——所街公交场站完成外立面防护网拆除，正式亮相。该项目集公交车站、市民休闲、办公酒店等功能于一体，内部设有9米高的架空层，未来将成为公交车停车及上下客区域，同时容纳小商业与公共服务设施。项目地上1至3层为公交驿站和车辆运营区，4至9层为精品酒店，地下1层提供机动车与非机动车车位。通过复合开发，该项目在4000多平方米的地块内打造出总建筑面积超1.5万平方米的商业综合体，有效提升城市活力，成为具有标志性的“社区客厅”。</w:t>
      </w:r>
    </w:p>
    <w:p w14:paraId="211F30A8">
      <w:pPr>
        <w:pStyle w:val="48"/>
        <w:ind w:firstLine="0" w:firstLineChars="0"/>
        <w:jc w:val="center"/>
        <w:rPr>
          <w:rFonts w:hint="eastAsia" w:ascii="仿宋" w:hAnsi="仿宋"/>
          <w:lang w:bidi="en-US"/>
        </w:rPr>
      </w:pPr>
      <w:bookmarkStart w:id="34" w:name="_Hlk189916667"/>
      <w:r>
        <w:rPr>
          <w:rFonts w:ascii="仿宋" w:hAnsi="仿宋" w:cs="Arial"/>
          <w:color w:val="222222"/>
          <w:shd w:val="clear" w:color="auto" w:fill="FFFFFF"/>
          <w:lang w:bidi="ar"/>
        </w:rPr>
        <w:drawing>
          <wp:inline distT="0" distB="0" distL="0" distR="0">
            <wp:extent cx="3619500" cy="2159635"/>
            <wp:effectExtent l="0" t="0" r="0" b="0"/>
            <wp:docPr id="1087313348" name="图片 7" descr="a9a147d13fca5982eec5f2627e8dd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13348" name="图片 7" descr="a9a147d13fca5982eec5f2627e8ddac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620112" cy="2160000"/>
                    </a:xfrm>
                    <a:prstGeom prst="rect">
                      <a:avLst/>
                    </a:prstGeom>
                    <a:noFill/>
                    <a:ln>
                      <a:noFill/>
                    </a:ln>
                  </pic:spPr>
                </pic:pic>
              </a:graphicData>
            </a:graphic>
          </wp:inline>
        </w:drawing>
      </w:r>
      <w:bookmarkEnd w:id="34"/>
    </w:p>
    <w:p w14:paraId="57535249">
      <w:pPr>
        <w:pStyle w:val="2"/>
        <w:numPr>
          <w:ilvl w:val="0"/>
          <w:numId w:val="4"/>
        </w:numPr>
        <w:rPr>
          <w:rFonts w:hint="eastAsia" w:ascii="仿宋" w:hAnsi="仿宋" w:cs="Arial"/>
          <w:color w:val="222222"/>
          <w:kern w:val="0"/>
          <w:szCs w:val="24"/>
          <w:shd w:val="clear" w:color="auto" w:fill="FFFFFF"/>
          <w:lang w:bidi="ar"/>
        </w:rPr>
      </w:pPr>
      <w:bookmarkStart w:id="35" w:name="_Toc189920525"/>
      <w:r>
        <w:rPr>
          <w:rFonts w:ascii="仿宋" w:hAnsi="仿宋" w:cs="Arial"/>
          <w:color w:val="222222"/>
          <w:kern w:val="0"/>
          <w:szCs w:val="24"/>
          <w:shd w:val="clear" w:color="auto" w:fill="FFFFFF"/>
          <w:lang w:bidi="ar"/>
        </w:rPr>
        <w:t>佛山朝东一号地块调规，朝安站上盖住宅改商业</w:t>
      </w:r>
      <w:bookmarkEnd w:id="35"/>
    </w:p>
    <w:p w14:paraId="32889628">
      <w:pPr>
        <w:pStyle w:val="48"/>
        <w:ind w:firstLine="480"/>
        <w:rPr>
          <w:rFonts w:hint="eastAsia" w:ascii="仿宋" w:hAnsi="仿宋"/>
          <w:lang w:bidi="en-US"/>
        </w:rPr>
      </w:pPr>
      <w:r>
        <w:rPr>
          <w:rFonts w:ascii="仿宋" w:hAnsi="仿宋"/>
          <w:lang w:bidi="en-US"/>
        </w:rPr>
        <w:t>1月6日，佛山市自然资源局禅城分局公开征求朝东一号地块调规意见。该地块位于广佛线朝安站旁，旧改项目改造用地面积约416亩，建设周期约10年。此次调规将同济路北侧一宗住宅地块调整为商业地块，朝安南路西侧一宗商业地块调整为二类居住用地。项目配套打造十二年一贯制学校、高端商场、商务办公、高端养老等公共设施。此次调规有助于优化区域功能布局，提升土地利用效率，满足居民多样化生活需求，推动朝东一号地块的综合开发与利用。</w:t>
      </w:r>
    </w:p>
    <w:p w14:paraId="055F74A0">
      <w:pPr>
        <w:pStyle w:val="48"/>
        <w:ind w:firstLine="0" w:firstLineChars="0"/>
        <w:jc w:val="center"/>
        <w:rPr>
          <w:rFonts w:hint="eastAsia" w:ascii="仿宋" w:hAnsi="仿宋"/>
          <w:lang w:bidi="en-US"/>
        </w:rPr>
      </w:pPr>
      <w:r>
        <w:rPr>
          <w:rFonts w:hint="eastAsia" w:ascii="仿宋" w:hAnsi="仿宋" w:cs="Microsoft YaHei UI"/>
          <w:color w:val="D92142"/>
          <w:spacing w:val="7"/>
          <w:lang w:bidi="ar"/>
        </w:rPr>
        <w:fldChar w:fldCharType="begin"/>
      </w:r>
      <w:r>
        <w:rPr>
          <w:rFonts w:ascii="仿宋" w:hAnsi="仿宋" w:cs="Microsoft YaHei UI"/>
          <w:color w:val="D92142"/>
          <w:spacing w:val="7"/>
          <w:lang w:bidi="ar"/>
        </w:rPr>
        <w:instrText xml:space="preserve">INCLUDEPICTURE \d "https://mmbiz.qpic.cn/sz_mmbiz_png/VSTe3ObDH68xg3vobCXQrASOFaQQh1ICspC6SgTDhKdsg1jwfdS2d3mfHHesrnroArPHXh68hic6iat1kHyMI0rA/640?wx_fmt=png&amp;from=appmsg&amp;wxfrom=13" \* MERGEFORMATINET </w:instrText>
      </w:r>
      <w:r>
        <w:rPr>
          <w:rFonts w:hint="eastAsia" w:ascii="仿宋" w:hAnsi="仿宋" w:cs="Microsoft YaHei UI"/>
          <w:color w:val="D92142"/>
          <w:spacing w:val="7"/>
          <w:lang w:bidi="ar"/>
        </w:rPr>
        <w:fldChar w:fldCharType="separate"/>
      </w:r>
      <w:r>
        <w:rPr>
          <w:rFonts w:hint="eastAsia" w:ascii="仿宋" w:hAnsi="仿宋" w:cs="Microsoft YaHei UI"/>
          <w:color w:val="D92142"/>
          <w:spacing w:val="7"/>
          <w:lang w:bidi="ar"/>
        </w:rPr>
        <w:fldChar w:fldCharType="begin"/>
      </w:r>
      <w:r>
        <w:rPr>
          <w:rFonts w:hint="eastAsia" w:ascii="仿宋" w:hAnsi="仿宋" w:cs="Microsoft YaHei UI"/>
          <w:color w:val="D92142"/>
          <w:spacing w:val="7"/>
          <w:lang w:bidi="ar"/>
        </w:rPr>
        <w:instrText xml:space="preserve"> INCLUDEPICTURE  "https://mmbiz.qpic.cn/sz_mmbiz_png/VSTe3ObDH68xg3vobCXQrASOFaQQh1ICspC6SgTDhKdsg1jwfdS2d3mfHHesrnroArPHXh68hic6iat1kHyMI0rA/640?wx_fmt=png&amp;from=appmsg&amp;wxfrom=13" \* MERGEFORMATINET </w:instrText>
      </w:r>
      <w:r>
        <w:rPr>
          <w:rFonts w:hint="eastAsia" w:ascii="仿宋" w:hAnsi="仿宋" w:cs="Microsoft YaHei UI"/>
          <w:color w:val="D92142"/>
          <w:spacing w:val="7"/>
          <w:lang w:bidi="ar"/>
        </w:rPr>
        <w:fldChar w:fldCharType="separate"/>
      </w:r>
      <w:r>
        <w:rPr>
          <w:rFonts w:ascii="仿宋" w:hAnsi="仿宋" w:cs="Microsoft YaHei UI"/>
          <w:color w:val="D92142"/>
          <w:spacing w:val="7"/>
          <w:lang w:bidi="ar"/>
        </w:rPr>
        <w:pict>
          <v:shape id="_x0000_i1026" o:spt="75" type="#_x0000_t75" style="height:170.05pt;width:284.1pt;" filled="f" o:preferrelative="t" stroked="f" coordsize="21600,21600">
            <v:path/>
            <v:fill on="f" focussize="0,0"/>
            <v:stroke on="f" joinstyle="miter"/>
            <v:imagedata r:id="rId18" r:href="rId19" cropleft="825f" croptop="25406f" cropright="495f" cropbottom="622f" o:title=""/>
            <o:lock v:ext="edit" aspectratio="t"/>
            <w10:wrap type="none"/>
            <w10:anchorlock/>
          </v:shape>
        </w:pict>
      </w:r>
      <w:r>
        <w:rPr>
          <w:rFonts w:hint="eastAsia" w:ascii="仿宋" w:hAnsi="仿宋" w:cs="Microsoft YaHei UI"/>
          <w:color w:val="D92142"/>
          <w:spacing w:val="7"/>
          <w:lang w:bidi="ar"/>
        </w:rPr>
        <w:fldChar w:fldCharType="end"/>
      </w:r>
      <w:r>
        <w:rPr>
          <w:rFonts w:hint="eastAsia" w:ascii="仿宋" w:hAnsi="仿宋" w:cs="Microsoft YaHei UI"/>
          <w:color w:val="D92142"/>
          <w:spacing w:val="7"/>
          <w:lang w:bidi="ar"/>
        </w:rPr>
        <w:fldChar w:fldCharType="end"/>
      </w:r>
    </w:p>
    <w:p w14:paraId="6EDF2401">
      <w:pPr>
        <w:pStyle w:val="2"/>
        <w:numPr>
          <w:ilvl w:val="0"/>
          <w:numId w:val="4"/>
        </w:numPr>
        <w:rPr>
          <w:rFonts w:hint="eastAsia" w:ascii="仿宋" w:hAnsi="仿宋" w:cs="Arial"/>
          <w:color w:val="222222"/>
          <w:kern w:val="0"/>
          <w:szCs w:val="24"/>
          <w:shd w:val="clear" w:color="auto" w:fill="FFFFFF"/>
          <w:lang w:bidi="ar"/>
        </w:rPr>
      </w:pPr>
      <w:bookmarkStart w:id="36" w:name="_Toc189920526"/>
      <w:r>
        <w:rPr>
          <w:rFonts w:ascii="仿宋" w:hAnsi="仿宋" w:cs="Arial"/>
          <w:color w:val="222222"/>
          <w:kern w:val="0"/>
          <w:szCs w:val="24"/>
          <w:shd w:val="clear" w:color="auto" w:fill="FFFFFF"/>
          <w:lang w:bidi="ar"/>
        </w:rPr>
        <w:t>杭州乔司车辆段上盖低密地块调整公示</w:t>
      </w:r>
      <w:bookmarkEnd w:id="36"/>
    </w:p>
    <w:p w14:paraId="017528D0">
      <w:pPr>
        <w:pStyle w:val="48"/>
        <w:ind w:firstLine="480"/>
        <w:rPr>
          <w:rFonts w:hint="eastAsia" w:ascii="仿宋" w:hAnsi="仿宋"/>
          <w:lang w:bidi="en-US"/>
        </w:rPr>
      </w:pPr>
      <w:r>
        <w:rPr>
          <w:rFonts w:ascii="仿宋" w:hAnsi="仿宋"/>
          <w:lang w:bidi="en-US"/>
        </w:rPr>
        <w:t>1月，杭州市自然资源和规划局公示临平区乔司车辆段上盖低密地块调整规划。该地块位于临平副城单元，东至星河南路，南至乔司全域复耕片区，西至留石快速路，北至星都大道。调整后，LP030302-02地块容积率不大于1.24，建筑高度不大于55米；LP030302-08地块容积率不大于1.15，建筑高度不大于48米。地块距离地铁18号线永玄路站1600米，周边配套完善。此次调整旨在优化用地布局，提升城市居民生活品质，集约利用土地资源。</w:t>
      </w:r>
    </w:p>
    <w:p w14:paraId="06AB5D27">
      <w:pPr>
        <w:pStyle w:val="2"/>
        <w:numPr>
          <w:ilvl w:val="0"/>
          <w:numId w:val="4"/>
        </w:numPr>
        <w:rPr>
          <w:rFonts w:hint="eastAsia" w:ascii="仿宋" w:hAnsi="仿宋" w:cs="Arial"/>
          <w:color w:val="222222"/>
          <w:kern w:val="0"/>
          <w:szCs w:val="24"/>
          <w:shd w:val="clear" w:color="auto" w:fill="FFFFFF"/>
          <w:lang w:bidi="ar"/>
        </w:rPr>
      </w:pPr>
      <w:bookmarkStart w:id="37" w:name="_Toc189920527"/>
      <w:r>
        <w:rPr>
          <w:rFonts w:ascii="仿宋" w:hAnsi="仿宋" w:cs="Arial"/>
          <w:color w:val="222222"/>
          <w:kern w:val="0"/>
          <w:szCs w:val="24"/>
          <w:shd w:val="clear" w:color="auto" w:fill="FFFFFF"/>
          <w:lang w:bidi="ar"/>
        </w:rPr>
        <w:t>上海18号线通南路站TOD项目设计方案出炉</w:t>
      </w:r>
      <w:bookmarkEnd w:id="37"/>
    </w:p>
    <w:p w14:paraId="77214D60">
      <w:pPr>
        <w:pStyle w:val="48"/>
        <w:ind w:firstLine="480"/>
        <w:rPr>
          <w:rFonts w:hint="eastAsia" w:ascii="仿宋" w:hAnsi="仿宋"/>
          <w:lang w:bidi="en-US"/>
        </w:rPr>
      </w:pPr>
      <w:r>
        <w:rPr>
          <w:rFonts w:ascii="仿宋" w:hAnsi="仿宋"/>
          <w:lang w:bidi="en-US"/>
        </w:rPr>
        <w:t>日前，上海宝山区18号线通南路站TOD项目设计方案审定。该项目位于淞南社区N12-0402单元，由招商蛇口与金茂联合体竞得。项目总建筑面积18.81万平方米，容积率2.2，规划建设11栋12至17层住宅楼、1栋18层保障性租赁住宅楼、1栋15层酒店及商业楼等。商业与酒店紧邻地铁站，地下2层为住宅小区下沉庭院与车库。该项目将打造集住宅、商业、酒店于一体的TOD社区，提升区域交通便利性与生活品质。</w:t>
      </w:r>
    </w:p>
    <w:p w14:paraId="53A247A7">
      <w:pPr>
        <w:pStyle w:val="2"/>
        <w:numPr>
          <w:ilvl w:val="0"/>
          <w:numId w:val="4"/>
        </w:numPr>
        <w:rPr>
          <w:rFonts w:hint="eastAsia" w:ascii="仿宋" w:hAnsi="仿宋" w:cs="Arial"/>
          <w:color w:val="222222"/>
          <w:kern w:val="0"/>
          <w:szCs w:val="24"/>
          <w:shd w:val="clear" w:color="auto" w:fill="FFFFFF"/>
          <w:lang w:bidi="ar"/>
        </w:rPr>
      </w:pPr>
      <w:bookmarkStart w:id="38" w:name="_Toc189920528"/>
      <w:r>
        <w:rPr>
          <w:rFonts w:hint="eastAsia" w:ascii="仿宋" w:hAnsi="仿宋" w:cs="Arial"/>
          <w:color w:val="222222"/>
          <w:kern w:val="0"/>
          <w:szCs w:val="24"/>
          <w:shd w:val="clear" w:color="auto" w:fill="FFFFFF"/>
          <w:lang w:bidi="ar"/>
        </w:rPr>
        <w:t>上海</w:t>
      </w:r>
      <w:r>
        <w:rPr>
          <w:rFonts w:ascii="仿宋" w:hAnsi="仿宋" w:cs="Arial"/>
          <w:color w:val="222222"/>
          <w:kern w:val="0"/>
          <w:szCs w:val="24"/>
          <w:shd w:val="clear" w:color="auto" w:fill="FFFFFF"/>
          <w:lang w:bidi="ar"/>
        </w:rPr>
        <w:t>东方枢纽上海东站站前区项目规划设计发布</w:t>
      </w:r>
      <w:bookmarkEnd w:id="38"/>
    </w:p>
    <w:p w14:paraId="13A3C24A">
      <w:pPr>
        <w:pStyle w:val="48"/>
        <w:ind w:firstLine="480"/>
        <w:rPr>
          <w:rFonts w:hint="eastAsia" w:ascii="仿宋" w:hAnsi="仿宋"/>
          <w:lang w:bidi="en-US"/>
        </w:rPr>
      </w:pPr>
      <w:r>
        <w:rPr>
          <w:rFonts w:ascii="仿宋" w:hAnsi="仿宋"/>
          <w:lang w:bidi="en-US"/>
        </w:rPr>
        <w:t>1月13日，华建集团上海院发布东方枢纽上海东站站前区项目规划设计。该项目是上海东站站城一体开发的核心区域，总用地面积约22万平方米，总建筑面积约103.8万平方米。项目涵盖商业、酒店、办公、会展等多种复合业态，将成为长三角人民及全球访客进入上海的第一印象。东方枢纽作为上海两大国际（国家）级客运综合交通枢纽之一，将有力推动区域经济发展与城市功能提升。</w:t>
      </w:r>
    </w:p>
    <w:p w14:paraId="524752AF">
      <w:pPr>
        <w:pStyle w:val="48"/>
        <w:ind w:firstLine="0" w:firstLineChars="0"/>
        <w:jc w:val="center"/>
        <w:rPr>
          <w:rFonts w:hint="eastAsia" w:ascii="仿宋" w:hAnsi="仿宋"/>
          <w:lang w:bidi="en-US"/>
        </w:rPr>
      </w:pPr>
      <w:r>
        <w:rPr>
          <w:rFonts w:ascii="仿宋" w:hAnsi="仿宋" w:cs="Arial"/>
          <w:color w:val="666666"/>
        </w:rPr>
        <w:fldChar w:fldCharType="begin"/>
      </w:r>
      <w:r>
        <w:rPr>
          <w:rFonts w:ascii="仿宋" w:hAnsi="仿宋" w:cs="Arial"/>
          <w:color w:val="666666"/>
        </w:rPr>
        <w:instrText xml:space="preserve">INCLUDEPICTURE \d "https://nimg.ws.126.net/?url=http://dingyue.ws.126.net/2025/0115/d10547d3j00sq3z4n012md200u000i1g00it00ba.jpg&amp;thumbnail=660x2147483647&amp;quality=80&amp;type=jpg" \* MERGEFORMATINET </w:instrText>
      </w:r>
      <w:r>
        <w:rPr>
          <w:rFonts w:ascii="仿宋" w:hAnsi="仿宋" w:cs="Arial"/>
          <w:color w:val="666666"/>
        </w:rPr>
        <w:fldChar w:fldCharType="separate"/>
      </w:r>
      <w:r>
        <w:rPr>
          <w:rFonts w:hint="eastAsia" w:ascii="仿宋" w:hAnsi="仿宋" w:cs="Arial"/>
          <w:color w:val="666666"/>
        </w:rPr>
        <w:fldChar w:fldCharType="begin"/>
      </w:r>
      <w:r>
        <w:rPr>
          <w:rFonts w:hint="eastAsia" w:ascii="仿宋" w:hAnsi="仿宋" w:cs="Arial"/>
          <w:color w:val="666666"/>
        </w:rPr>
        <w:instrText xml:space="preserve"> INCLUDEPICTURE  "https://nimg.ws.126.net/?url=http://dingyue.ws.126.net/2025/0115/d10547d3j00sq3z4n012md200u000i1g00it00ba.jpg&amp;thumbnail=660x2147483647&amp;quality=80&amp;type=jpg" \* MERGEFORMATINET </w:instrText>
      </w:r>
      <w:r>
        <w:rPr>
          <w:rFonts w:hint="eastAsia" w:ascii="仿宋" w:hAnsi="仿宋" w:cs="Arial"/>
          <w:color w:val="666666"/>
        </w:rPr>
        <w:fldChar w:fldCharType="separate"/>
      </w:r>
      <w:r>
        <w:rPr>
          <w:rFonts w:ascii="仿宋" w:hAnsi="仿宋" w:cs="Arial"/>
          <w:color w:val="666666"/>
        </w:rPr>
        <w:pict>
          <v:shape id="_x0000_i1027" o:spt="75" type="#_x0000_t75" style="height:170.05pt;width:283.55pt;" filled="f" o:preferrelative="t" stroked="f" coordsize="21600,21600">
            <v:path/>
            <v:fill on="f" focussize="0,0"/>
            <v:stroke on="f" joinstyle="miter"/>
            <v:imagedata r:id="rId20" r:href="rId21" o:title=""/>
            <o:lock v:ext="edit" aspectratio="t"/>
            <w10:wrap type="none"/>
            <w10:anchorlock/>
          </v:shape>
        </w:pict>
      </w:r>
      <w:r>
        <w:rPr>
          <w:rFonts w:hint="eastAsia" w:ascii="仿宋" w:hAnsi="仿宋" w:cs="Arial"/>
          <w:color w:val="666666"/>
        </w:rPr>
        <w:fldChar w:fldCharType="end"/>
      </w:r>
      <w:r>
        <w:rPr>
          <w:rFonts w:ascii="仿宋" w:hAnsi="仿宋" w:cs="Arial"/>
          <w:color w:val="666666"/>
        </w:rPr>
        <w:fldChar w:fldCharType="end"/>
      </w:r>
    </w:p>
    <w:p w14:paraId="752262C7">
      <w:pPr>
        <w:pStyle w:val="2"/>
        <w:numPr>
          <w:ilvl w:val="0"/>
          <w:numId w:val="4"/>
        </w:numPr>
        <w:rPr>
          <w:rFonts w:hint="eastAsia" w:ascii="仿宋" w:hAnsi="仿宋" w:cs="Arial"/>
          <w:color w:val="222222"/>
          <w:kern w:val="0"/>
          <w:szCs w:val="24"/>
          <w:shd w:val="clear" w:color="auto" w:fill="FFFFFF"/>
          <w:lang w:bidi="ar"/>
        </w:rPr>
      </w:pPr>
      <w:bookmarkStart w:id="39" w:name="_Toc189920529"/>
      <w:r>
        <w:rPr>
          <w:rFonts w:ascii="仿宋" w:hAnsi="仿宋" w:cs="Arial"/>
          <w:color w:val="222222"/>
          <w:kern w:val="0"/>
          <w:szCs w:val="24"/>
          <w:shd w:val="clear" w:color="auto" w:fill="FFFFFF"/>
          <w:lang w:bidi="ar"/>
        </w:rPr>
        <w:t>杭州海潮TOD地块规划调整</w:t>
      </w:r>
      <w:bookmarkEnd w:id="39"/>
    </w:p>
    <w:p w14:paraId="43346201">
      <w:pPr>
        <w:pStyle w:val="48"/>
        <w:ind w:firstLine="480"/>
        <w:rPr>
          <w:rFonts w:hint="eastAsia" w:ascii="仿宋" w:hAnsi="仿宋"/>
          <w:lang w:bidi="en-US"/>
        </w:rPr>
      </w:pPr>
      <w:r>
        <w:rPr>
          <w:rFonts w:ascii="仿宋" w:hAnsi="仿宋"/>
          <w:lang w:bidi="en-US"/>
        </w:rPr>
        <w:t>1月16日，杭州市规划和自然资源局发布海潮TOD地块详细规划调整公示。该地块位于望江新城核心区，地铁18号线海潮站、7号线莫邪塘站上盖。调整后，地块从商住混合变为纯宅地与综合属性用地，住宅部分更加纯粹。未来，该地块将打造写字楼产业总部、高品质住宅及沿街配套商业，提升区域整体生活品质与城市功能。</w:t>
      </w:r>
    </w:p>
    <w:p w14:paraId="76BE4C4E">
      <w:pPr>
        <w:pStyle w:val="48"/>
        <w:ind w:firstLine="0" w:firstLineChars="0"/>
        <w:jc w:val="center"/>
        <w:rPr>
          <w:rFonts w:hint="eastAsia" w:ascii="仿宋" w:hAnsi="仿宋"/>
          <w:lang w:bidi="en-US"/>
        </w:rPr>
      </w:pPr>
      <w:r>
        <w:rPr>
          <w:rFonts w:ascii="仿宋" w:hAnsi="仿宋" w:cs="Arial"/>
          <w:color w:val="000000"/>
          <w:shd w:val="clear" w:color="auto" w:fill="FFFFFF"/>
          <w:lang w:bidi="ar"/>
        </w:rPr>
        <w:fldChar w:fldCharType="begin"/>
      </w:r>
      <w:r>
        <w:rPr>
          <w:rFonts w:ascii="仿宋" w:hAnsi="仿宋" w:cs="Arial"/>
          <w:color w:val="000000"/>
          <w:shd w:val="clear" w:color="auto" w:fill="FFFFFF"/>
          <w:lang w:bidi="ar"/>
        </w:rPr>
        <w:instrText xml:space="preserve">INCLUDEPICTURE \d "https://pics6.baidu.com/feed/f3d3572c11dfa9ec78169bf89d44b70c908fc14e.jpeg@f_auto?token=446adba102cac42027b106efd11c0248" \* MERGEFORMATINET </w:instrText>
      </w:r>
      <w:r>
        <w:rPr>
          <w:rFonts w:ascii="仿宋" w:hAnsi="仿宋" w:cs="Arial"/>
          <w:color w:val="000000"/>
          <w:shd w:val="clear" w:color="auto" w:fill="FFFFFF"/>
          <w:lang w:bidi="ar"/>
        </w:rPr>
        <w:fldChar w:fldCharType="separate"/>
      </w:r>
      <w:r>
        <w:rPr>
          <w:rFonts w:hint="eastAsia" w:ascii="仿宋" w:hAnsi="仿宋" w:cs="Arial"/>
          <w:color w:val="000000"/>
          <w:shd w:val="clear" w:color="auto" w:fill="FFFFFF"/>
          <w:lang w:bidi="ar"/>
        </w:rPr>
        <w:fldChar w:fldCharType="begin"/>
      </w:r>
      <w:r>
        <w:rPr>
          <w:rFonts w:hint="eastAsia" w:ascii="仿宋" w:hAnsi="仿宋" w:cs="Arial"/>
          <w:color w:val="000000"/>
          <w:shd w:val="clear" w:color="auto" w:fill="FFFFFF"/>
          <w:lang w:bidi="ar"/>
        </w:rPr>
        <w:instrText xml:space="preserve"> INCLUDEPICTURE  "https://pics6.baidu.com/feed/f3d3572c11dfa9ec78169bf89d44b70c908fc14e.jpeg@f_auto?token=446adba102cac42027b106efd11c0248" \* MERGEFORMATINET </w:instrText>
      </w:r>
      <w:r>
        <w:rPr>
          <w:rFonts w:hint="eastAsia" w:ascii="仿宋" w:hAnsi="仿宋" w:cs="Arial"/>
          <w:color w:val="000000"/>
          <w:shd w:val="clear" w:color="auto" w:fill="FFFFFF"/>
          <w:lang w:bidi="ar"/>
        </w:rPr>
        <w:fldChar w:fldCharType="separate"/>
      </w:r>
      <w:r>
        <w:rPr>
          <w:rFonts w:ascii="仿宋" w:hAnsi="仿宋" w:cs="Arial"/>
          <w:color w:val="000000"/>
          <w:shd w:val="clear" w:color="auto" w:fill="FFFFFF"/>
          <w:lang w:bidi="ar"/>
        </w:rPr>
        <w:pict>
          <v:shape id="_x0000_i1028" o:spt="75" type="#_x0000_t75" style="height:170.05pt;width:282.45pt;" filled="f" o:preferrelative="t" stroked="f" coordsize="21600,21600">
            <v:path/>
            <v:fill on="f" focussize="0,0"/>
            <v:stroke on="f" joinstyle="miter"/>
            <v:imagedata r:id="rId22" r:href="rId23" o:title=""/>
            <o:lock v:ext="edit" aspectratio="t"/>
            <w10:wrap type="none"/>
            <w10:anchorlock/>
          </v:shape>
        </w:pict>
      </w:r>
      <w:r>
        <w:rPr>
          <w:rFonts w:hint="eastAsia" w:ascii="仿宋" w:hAnsi="仿宋" w:cs="Arial"/>
          <w:color w:val="000000"/>
          <w:shd w:val="clear" w:color="auto" w:fill="FFFFFF"/>
          <w:lang w:bidi="ar"/>
        </w:rPr>
        <w:fldChar w:fldCharType="end"/>
      </w:r>
      <w:r>
        <w:rPr>
          <w:rFonts w:ascii="仿宋" w:hAnsi="仿宋" w:cs="Arial"/>
          <w:color w:val="000000"/>
          <w:shd w:val="clear" w:color="auto" w:fill="FFFFFF"/>
          <w:lang w:bidi="ar"/>
        </w:rPr>
        <w:fldChar w:fldCharType="end"/>
      </w:r>
    </w:p>
    <w:p w14:paraId="4BA0A7FD">
      <w:pPr>
        <w:pStyle w:val="2"/>
        <w:numPr>
          <w:ilvl w:val="0"/>
          <w:numId w:val="4"/>
        </w:numPr>
        <w:rPr>
          <w:rFonts w:hint="eastAsia" w:ascii="仿宋" w:hAnsi="仿宋" w:cs="Arial"/>
          <w:color w:val="222222"/>
          <w:kern w:val="0"/>
          <w:szCs w:val="24"/>
          <w:shd w:val="clear" w:color="auto" w:fill="FFFFFF"/>
          <w:lang w:bidi="ar"/>
        </w:rPr>
      </w:pPr>
      <w:bookmarkStart w:id="40" w:name="_Toc189920530"/>
      <w:r>
        <w:rPr>
          <w:rFonts w:ascii="仿宋" w:hAnsi="仿宋" w:cs="Arial"/>
          <w:color w:val="222222"/>
          <w:kern w:val="0"/>
          <w:szCs w:val="24"/>
          <w:shd w:val="clear" w:color="auto" w:fill="FFFFFF"/>
          <w:lang w:bidi="ar"/>
        </w:rPr>
        <w:t>上海一二八纪念路站地铁上盖TOD地块设计公示</w:t>
      </w:r>
      <w:bookmarkEnd w:id="40"/>
    </w:p>
    <w:p w14:paraId="6D5976C4">
      <w:pPr>
        <w:pStyle w:val="48"/>
        <w:ind w:firstLine="480"/>
        <w:rPr>
          <w:rFonts w:hint="eastAsia" w:ascii="仿宋" w:hAnsi="仿宋"/>
          <w:lang w:bidi="en-US"/>
        </w:rPr>
      </w:pPr>
      <w:r>
        <w:rPr>
          <w:rFonts w:ascii="仿宋" w:hAnsi="仿宋"/>
          <w:lang w:bidi="en-US"/>
        </w:rPr>
        <w:t>1月24日，上海一二八纪念路站地铁上盖TOD地块设计公示。该地块位于江杨南路一二八纪念路交叉口，计划与地铁站结合建设。地铁站为地下双层岛式，上盖地块呈不规则形状，设计中包含地铁站出入口及铁路下穿通道。该项目将打造集商业、办公于一体的TOD综合体，提升区域交通便利性与城市空间利用效率。</w:t>
      </w:r>
    </w:p>
    <w:p w14:paraId="670C95F7">
      <w:pPr>
        <w:pStyle w:val="48"/>
        <w:ind w:firstLine="480"/>
        <w:rPr>
          <w:rFonts w:hint="eastAsia" w:ascii="仿宋" w:hAnsi="仿宋"/>
          <w:lang w:bidi="en-US"/>
        </w:rPr>
      </w:pPr>
    </w:p>
    <w:p w14:paraId="3F32BE74">
      <w:pPr>
        <w:widowControl/>
        <w:ind w:firstLine="480"/>
        <w:jc w:val="center"/>
        <w:rPr>
          <w:rFonts w:hint="eastAsia" w:ascii="黑体" w:hAnsi="黑体" w:eastAsia="黑体"/>
          <w:szCs w:val="24"/>
        </w:rPr>
      </w:pPr>
    </w:p>
    <w:p w14:paraId="02C39D64">
      <w:pPr>
        <w:ind w:firstLine="480"/>
        <w:rPr>
          <w:rFonts w:hint="eastAsia" w:ascii="黑体" w:hAnsi="黑体" w:eastAsia="黑体"/>
          <w:szCs w:val="24"/>
        </w:rPr>
        <w:sectPr>
          <w:pgSz w:w="11906" w:h="16838"/>
          <w:pgMar w:top="1440" w:right="1800" w:bottom="1440" w:left="1800" w:header="1474" w:footer="964" w:gutter="0"/>
          <w:cols w:space="425" w:num="1"/>
          <w:docGrid w:type="lines" w:linePitch="326" w:charSpace="0"/>
        </w:sectPr>
      </w:pPr>
    </w:p>
    <w:p w14:paraId="492103A8">
      <w:pPr>
        <w:ind w:firstLine="480"/>
        <w:rPr>
          <w:rFonts w:hint="eastAsia" w:ascii="黑体" w:hAnsi="黑体" w:eastAsia="黑体"/>
          <w:szCs w:val="24"/>
        </w:rPr>
      </w:pPr>
      <w:r>
        <w:rPr>
          <w:rFonts w:hint="eastAsia" w:ascii="黑体" w:hAnsi="黑体" w:eastAsia="黑体"/>
          <w:szCs w:val="24"/>
        </w:rPr>
        <w:drawing>
          <wp:anchor distT="0" distB="0" distL="114300" distR="114300" simplePos="0" relativeHeight="251663360" behindDoc="1" locked="0" layoutInCell="1" allowOverlap="1">
            <wp:simplePos x="0" y="0"/>
            <wp:positionH relativeFrom="margin">
              <wp:align>center</wp:align>
            </wp:positionH>
            <wp:positionV relativeFrom="paragraph">
              <wp:posOffset>-901700</wp:posOffset>
            </wp:positionV>
            <wp:extent cx="7542530" cy="10664825"/>
            <wp:effectExtent l="0" t="0" r="1270" b="31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2627" cy="10664867"/>
                    </a:xfrm>
                    <a:prstGeom prst="rect">
                      <a:avLst/>
                    </a:prstGeom>
                  </pic:spPr>
                </pic:pic>
              </a:graphicData>
            </a:graphic>
          </wp:anchor>
        </w:drawing>
      </w:r>
    </w:p>
    <w:p w14:paraId="2707E75A">
      <w:pPr>
        <w:ind w:firstLine="480"/>
        <w:rPr>
          <w:rFonts w:hint="eastAsia" w:ascii="黑体" w:hAnsi="黑体" w:eastAsia="黑体"/>
          <w:szCs w:val="24"/>
        </w:rPr>
      </w:pPr>
    </w:p>
    <w:p w14:paraId="62E4CC8B">
      <w:pPr>
        <w:ind w:firstLine="480"/>
        <w:rPr>
          <w:rFonts w:hint="eastAsia" w:ascii="黑体" w:hAnsi="黑体" w:eastAsia="黑体"/>
          <w:szCs w:val="24"/>
        </w:rPr>
      </w:pPr>
      <w:r>
        <w:rPr>
          <w:rFonts w:ascii="黑体" w:hAnsi="黑体" w:eastAsia="黑体"/>
          <w:szCs w:val="24"/>
        </w:rPr>
        <mc:AlternateContent>
          <mc:Choice Requires="wps">
            <w:drawing>
              <wp:anchor distT="45720" distB="45720" distL="114300" distR="114300" simplePos="0" relativeHeight="251664384" behindDoc="0" locked="0" layoutInCell="1" allowOverlap="1">
                <wp:simplePos x="0" y="0"/>
                <wp:positionH relativeFrom="column">
                  <wp:posOffset>1531620</wp:posOffset>
                </wp:positionH>
                <wp:positionV relativeFrom="paragraph">
                  <wp:posOffset>855980</wp:posOffset>
                </wp:positionV>
                <wp:extent cx="2106295" cy="1280160"/>
                <wp:effectExtent l="0" t="0" r="0" b="0"/>
                <wp:wrapSquare wrapText="bothSides"/>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06295" cy="1280160"/>
                        </a:xfrm>
                        <a:prstGeom prst="rect">
                          <a:avLst/>
                        </a:prstGeom>
                        <a:noFill/>
                        <a:ln w="9525">
                          <a:noFill/>
                          <a:miter lim="800000"/>
                        </a:ln>
                      </wps:spPr>
                      <wps:txbx>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120.6pt;margin-top:67.4pt;height:100.8pt;width:165.85pt;mso-wrap-distance-bottom:3.6pt;mso-wrap-distance-left:9pt;mso-wrap-distance-right:9pt;mso-wrap-distance-top:3.6pt;z-index:251664384;mso-width-relative:margin;mso-height-relative:margin;mso-width-percent:400;mso-height-percent:200;" filled="f" stroked="f" coordsize="21600,21600" o:gfxdata="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i6187YAAAACwEAAA8AAAAAAAAAAQAgAAAAIgAAAGRycy9kb3ducmV2LnhtbFBLAQIUABQAAAAI&#10;AIdO4kAzxNFtJgIAACoEAAAOAAAAAAAAAAEAIAAAACcBAABkcnMvZTJvRG9jLnhtbFBLBQYAAAAA&#10;BgAGAFkBAAC/BQAAAAA=&#10;">
                <v:fill on="f" focussize="0,0"/>
                <v:stroke on="f" miterlimit="8" joinstyle="miter"/>
                <v:imagedata o:title=""/>
                <o:lock v:ext="edit" aspectratio="f"/>
                <v:textbox style="mso-fit-shape-to-text:t;">
                  <w:txbxContent>
                    <w:p w14:paraId="4AE4B21F">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执笔人</w:t>
                      </w:r>
                    </w:p>
                    <w:p w14:paraId="42922115">
                      <w:pPr>
                        <w:ind w:firstLine="480"/>
                        <w:jc w:val="center"/>
                        <w:rPr>
                          <w:rFonts w:hint="eastAsia" w:ascii="微软雅黑" w:hAnsi="微软雅黑" w:eastAsia="微软雅黑"/>
                          <w:color w:val="FFFFFF" w:themeColor="background1"/>
                          <w:szCs w:val="28"/>
                          <w14:textFill>
                            <w14:solidFill>
                              <w14:schemeClr w14:val="bg1"/>
                            </w14:solidFill>
                          </w14:textFill>
                        </w:rPr>
                      </w:pPr>
                      <w:r>
                        <w:rPr>
                          <w:rFonts w:hint="eastAsia" w:ascii="微软雅黑" w:hAnsi="微软雅黑" w:eastAsia="微软雅黑"/>
                          <w:color w:val="FFFFFF" w:themeColor="background1"/>
                          <w:szCs w:val="28"/>
                          <w14:textFill>
                            <w14:solidFill>
                              <w14:schemeClr w14:val="bg1"/>
                            </w14:solidFill>
                          </w14:textFill>
                        </w:rPr>
                        <w:t>高鹏、宁佳琪、姚腊</w:t>
                      </w:r>
                    </w:p>
                    <w:p w14:paraId="62182671">
                      <w:pPr>
                        <w:ind w:firstLine="480"/>
                        <w:rPr>
                          <w:rFonts w:hint="eastAsia"/>
                        </w:rPr>
                      </w:pPr>
                    </w:p>
                  </w:txbxContent>
                </v:textbox>
                <w10:wrap type="square"/>
              </v:shape>
            </w:pict>
          </mc:Fallback>
        </mc:AlternateConten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仿宋_GB2312">
    <w:panose1 w:val="02000000000000000000"/>
    <w:charset w:val="86"/>
    <w:family w:val="auto"/>
    <w:pitch w:val="default"/>
    <w:sig w:usb0="A00002BF" w:usb1="184F6CFA" w:usb2="00000012" w:usb3="00000000" w:csb0="00040001" w:csb1="00000000"/>
  </w:font>
  <w:font w:name="方正仿宋_GBK">
    <w:panose1 w:val="03000509000000000000"/>
    <w:charset w:val="86"/>
    <w:family w:val="auto"/>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0458022"/>
      <w:docPartObj>
        <w:docPartGallery w:val="AutoText"/>
      </w:docPartObj>
    </w:sdtPr>
    <w:sdtContent>
      <w:p w14:paraId="5CB8950F">
        <w:pPr>
          <w:pStyle w:val="15"/>
          <w:ind w:firstLine="360"/>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810E90F">
    <w:pPr>
      <w:pStyle w:val="15"/>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AE71D">
    <w:pPr>
      <w:pStyle w:val="15"/>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9645C">
    <w:pPr>
      <w:pStyle w:val="15"/>
      <w:ind w:firstLine="360"/>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6754">
    <w:pPr>
      <w:pStyle w:val="16"/>
      <w:pBdr>
        <w:bottom w:val="none" w:color="auto" w:sz="0" w:space="0"/>
      </w:pBdr>
      <w:ind w:firstLine="480"/>
      <w:rPr>
        <w:rFonts w:hint="eastAsia"/>
      </w:rPr>
    </w:pPr>
    <w:r>
      <w:rPr>
        <w:rFonts w:hint="eastAsia" w:ascii="仿宋" w:hAnsi="仿宋"/>
        <w:sz w:val="24"/>
        <w:szCs w:val="36"/>
      </w:rPr>
      <w:drawing>
        <wp:anchor distT="0" distB="0" distL="114300" distR="114300" simplePos="0" relativeHeight="251660288"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1689270013" name="图片 168927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70013" name="图片 16892700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D5B50">
    <w:pPr>
      <w:pStyle w:val="16"/>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DEC6D">
    <w:pPr>
      <w:pStyle w:val="16"/>
      <w:pBdr>
        <w:bottom w:val="none" w:color="auto" w:sz="0" w:space="0"/>
      </w:pBdr>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0D6C0">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2336"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435533951" name="图片 4355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33951" name="图片 43553395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BF6C3">
    <w:pPr>
      <w:pStyle w:val="16"/>
      <w:pBdr>
        <w:bottom w:val="none" w:color="auto" w:sz="0" w:space="0"/>
      </w:pBdr>
      <w:ind w:firstLine="0" w:firstLineChars="0"/>
      <w:jc w:val="both"/>
      <w:rPr>
        <w:rFonts w:hint="eastAsia"/>
      </w:rPr>
    </w:pPr>
    <w:r>
      <w:rPr>
        <w:rFonts w:hint="eastAsia" w:ascii="仿宋" w:hAnsi="仿宋"/>
        <w:sz w:val="24"/>
        <w:szCs w:val="36"/>
      </w:rPr>
      <w:drawing>
        <wp:anchor distT="0" distB="0" distL="114300" distR="114300" simplePos="0" relativeHeight="251661312" behindDoc="1" locked="0" layoutInCell="1" allowOverlap="1">
          <wp:simplePos x="0" y="0"/>
          <wp:positionH relativeFrom="column">
            <wp:posOffset>-1130300</wp:posOffset>
          </wp:positionH>
          <wp:positionV relativeFrom="paragraph">
            <wp:posOffset>-1130935</wp:posOffset>
          </wp:positionV>
          <wp:extent cx="7565390" cy="1170305"/>
          <wp:effectExtent l="0" t="0" r="0" b="0"/>
          <wp:wrapNone/>
          <wp:docPr id="948416721" name="图片 94841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16721" name="图片 94841672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456" cy="117043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FD346D"/>
    <w:multiLevelType w:val="multilevel"/>
    <w:tmpl w:val="2CFD346D"/>
    <w:lvl w:ilvl="0" w:tentative="0">
      <w:start w:val="1"/>
      <w:numFmt w:val="bullet"/>
      <w:pStyle w:val="22"/>
      <w:lvlText w:val=""/>
      <w:lvlJc w:val="left"/>
      <w:pPr>
        <w:ind w:left="420" w:hanging="420"/>
      </w:pPr>
      <w:rPr>
        <w:rFonts w:hint="default" w:ascii="Wingdings" w:hAnsi="Wingdings"/>
      </w:rPr>
    </w:lvl>
    <w:lvl w:ilvl="1" w:tentative="0">
      <w:start w:val="1"/>
      <w:numFmt w:val="bullet"/>
      <w:pStyle w:val="18"/>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4BE28D2"/>
    <w:multiLevelType w:val="multilevel"/>
    <w:tmpl w:val="34BE28D2"/>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88B02B4"/>
    <w:multiLevelType w:val="multilevel"/>
    <w:tmpl w:val="588B02B4"/>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79DE1F6F"/>
    <w:multiLevelType w:val="multilevel"/>
    <w:tmpl w:val="79DE1F6F"/>
    <w:lvl w:ilvl="0" w:tentative="0">
      <w:start w:val="1"/>
      <w:numFmt w:val="decimal"/>
      <w:lvlText w:val="%1."/>
      <w:lvlJc w:val="left"/>
      <w:pPr>
        <w:ind w:left="440" w:hanging="440"/>
      </w:pPr>
      <w:rPr>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C47"/>
    <w:rsid w:val="00000211"/>
    <w:rsid w:val="000007D2"/>
    <w:rsid w:val="00001568"/>
    <w:rsid w:val="00003C2D"/>
    <w:rsid w:val="00004B22"/>
    <w:rsid w:val="00007B7E"/>
    <w:rsid w:val="000105CE"/>
    <w:rsid w:val="00010AAC"/>
    <w:rsid w:val="0001284A"/>
    <w:rsid w:val="0001370D"/>
    <w:rsid w:val="00014BF4"/>
    <w:rsid w:val="000167A1"/>
    <w:rsid w:val="000179F5"/>
    <w:rsid w:val="00020116"/>
    <w:rsid w:val="00020170"/>
    <w:rsid w:val="00020A19"/>
    <w:rsid w:val="00020B19"/>
    <w:rsid w:val="0002155E"/>
    <w:rsid w:val="00023A7E"/>
    <w:rsid w:val="00025B53"/>
    <w:rsid w:val="0002641E"/>
    <w:rsid w:val="00030514"/>
    <w:rsid w:val="000316B5"/>
    <w:rsid w:val="00032EF8"/>
    <w:rsid w:val="000369C6"/>
    <w:rsid w:val="00040674"/>
    <w:rsid w:val="00041C05"/>
    <w:rsid w:val="000427BE"/>
    <w:rsid w:val="0004280B"/>
    <w:rsid w:val="00045767"/>
    <w:rsid w:val="00045A8D"/>
    <w:rsid w:val="00046852"/>
    <w:rsid w:val="00050D93"/>
    <w:rsid w:val="000524B4"/>
    <w:rsid w:val="000538A1"/>
    <w:rsid w:val="00055E97"/>
    <w:rsid w:val="00056742"/>
    <w:rsid w:val="00056B5A"/>
    <w:rsid w:val="00056DA1"/>
    <w:rsid w:val="00057A4A"/>
    <w:rsid w:val="0006000F"/>
    <w:rsid w:val="00060FE7"/>
    <w:rsid w:val="000614BF"/>
    <w:rsid w:val="00061828"/>
    <w:rsid w:val="00061B91"/>
    <w:rsid w:val="0006310C"/>
    <w:rsid w:val="00064739"/>
    <w:rsid w:val="000669D2"/>
    <w:rsid w:val="000726E2"/>
    <w:rsid w:val="00077E3C"/>
    <w:rsid w:val="00080ED7"/>
    <w:rsid w:val="00081D97"/>
    <w:rsid w:val="00082B29"/>
    <w:rsid w:val="00083A19"/>
    <w:rsid w:val="00086765"/>
    <w:rsid w:val="00087FE4"/>
    <w:rsid w:val="000914A2"/>
    <w:rsid w:val="00091F60"/>
    <w:rsid w:val="00092EE2"/>
    <w:rsid w:val="000934C3"/>
    <w:rsid w:val="00093841"/>
    <w:rsid w:val="00093D0D"/>
    <w:rsid w:val="00093EE1"/>
    <w:rsid w:val="00094049"/>
    <w:rsid w:val="0009499A"/>
    <w:rsid w:val="0009540A"/>
    <w:rsid w:val="00095FD3"/>
    <w:rsid w:val="000A047E"/>
    <w:rsid w:val="000A2D6E"/>
    <w:rsid w:val="000A75E6"/>
    <w:rsid w:val="000B05B4"/>
    <w:rsid w:val="000B0B15"/>
    <w:rsid w:val="000B3882"/>
    <w:rsid w:val="000B496D"/>
    <w:rsid w:val="000B4FD2"/>
    <w:rsid w:val="000B6379"/>
    <w:rsid w:val="000C0EEA"/>
    <w:rsid w:val="000C0F57"/>
    <w:rsid w:val="000C125E"/>
    <w:rsid w:val="000C362F"/>
    <w:rsid w:val="000C3CB1"/>
    <w:rsid w:val="000C4A3C"/>
    <w:rsid w:val="000C51DD"/>
    <w:rsid w:val="000C5490"/>
    <w:rsid w:val="000C5E30"/>
    <w:rsid w:val="000C5E75"/>
    <w:rsid w:val="000C5F7A"/>
    <w:rsid w:val="000C5FD7"/>
    <w:rsid w:val="000C68CD"/>
    <w:rsid w:val="000D1385"/>
    <w:rsid w:val="000D3D83"/>
    <w:rsid w:val="000D5176"/>
    <w:rsid w:val="000D6BAB"/>
    <w:rsid w:val="000D7545"/>
    <w:rsid w:val="000E36D6"/>
    <w:rsid w:val="000E56C7"/>
    <w:rsid w:val="000F1676"/>
    <w:rsid w:val="000F2AB9"/>
    <w:rsid w:val="000F308B"/>
    <w:rsid w:val="000F3E0B"/>
    <w:rsid w:val="000F7FD0"/>
    <w:rsid w:val="00100243"/>
    <w:rsid w:val="001033B2"/>
    <w:rsid w:val="001039C1"/>
    <w:rsid w:val="00103BF8"/>
    <w:rsid w:val="00103E77"/>
    <w:rsid w:val="001043E4"/>
    <w:rsid w:val="00106410"/>
    <w:rsid w:val="00107286"/>
    <w:rsid w:val="00107304"/>
    <w:rsid w:val="00111E43"/>
    <w:rsid w:val="0011287D"/>
    <w:rsid w:val="00112E2E"/>
    <w:rsid w:val="001131BA"/>
    <w:rsid w:val="00113380"/>
    <w:rsid w:val="0011422C"/>
    <w:rsid w:val="00116136"/>
    <w:rsid w:val="0012111B"/>
    <w:rsid w:val="0012391C"/>
    <w:rsid w:val="00123F59"/>
    <w:rsid w:val="00124FB2"/>
    <w:rsid w:val="00126B7C"/>
    <w:rsid w:val="0012710F"/>
    <w:rsid w:val="00132F9D"/>
    <w:rsid w:val="00134FAD"/>
    <w:rsid w:val="001362C7"/>
    <w:rsid w:val="00140AE2"/>
    <w:rsid w:val="00141DC7"/>
    <w:rsid w:val="00141E1E"/>
    <w:rsid w:val="00142817"/>
    <w:rsid w:val="0014422F"/>
    <w:rsid w:val="00145315"/>
    <w:rsid w:val="00145DE7"/>
    <w:rsid w:val="00146C3F"/>
    <w:rsid w:val="001505DE"/>
    <w:rsid w:val="00150636"/>
    <w:rsid w:val="00150B2A"/>
    <w:rsid w:val="00152E8F"/>
    <w:rsid w:val="00152F3F"/>
    <w:rsid w:val="00153066"/>
    <w:rsid w:val="00153CF3"/>
    <w:rsid w:val="00154120"/>
    <w:rsid w:val="00154149"/>
    <w:rsid w:val="0015538D"/>
    <w:rsid w:val="001559B7"/>
    <w:rsid w:val="00156EFD"/>
    <w:rsid w:val="00157E9F"/>
    <w:rsid w:val="00160642"/>
    <w:rsid w:val="00161781"/>
    <w:rsid w:val="0016196D"/>
    <w:rsid w:val="00161ED1"/>
    <w:rsid w:val="001621A8"/>
    <w:rsid w:val="0016383E"/>
    <w:rsid w:val="00163882"/>
    <w:rsid w:val="001649C1"/>
    <w:rsid w:val="001650F2"/>
    <w:rsid w:val="00165B1D"/>
    <w:rsid w:val="00167173"/>
    <w:rsid w:val="001718B5"/>
    <w:rsid w:val="00171ABF"/>
    <w:rsid w:val="00172080"/>
    <w:rsid w:val="001726A9"/>
    <w:rsid w:val="00172726"/>
    <w:rsid w:val="00172F04"/>
    <w:rsid w:val="00173B53"/>
    <w:rsid w:val="00175AC8"/>
    <w:rsid w:val="00175F6C"/>
    <w:rsid w:val="001778D0"/>
    <w:rsid w:val="00177C22"/>
    <w:rsid w:val="0018279E"/>
    <w:rsid w:val="0018323F"/>
    <w:rsid w:val="00185906"/>
    <w:rsid w:val="00186342"/>
    <w:rsid w:val="001868C6"/>
    <w:rsid w:val="00186950"/>
    <w:rsid w:val="0018796D"/>
    <w:rsid w:val="00190296"/>
    <w:rsid w:val="00190A78"/>
    <w:rsid w:val="00191D87"/>
    <w:rsid w:val="00192D2D"/>
    <w:rsid w:val="001933EA"/>
    <w:rsid w:val="001960CC"/>
    <w:rsid w:val="0019690B"/>
    <w:rsid w:val="0019780A"/>
    <w:rsid w:val="001A324B"/>
    <w:rsid w:val="001A40BD"/>
    <w:rsid w:val="001A57AA"/>
    <w:rsid w:val="001B093C"/>
    <w:rsid w:val="001B1248"/>
    <w:rsid w:val="001B1CCB"/>
    <w:rsid w:val="001B2028"/>
    <w:rsid w:val="001B3A5A"/>
    <w:rsid w:val="001B3B2E"/>
    <w:rsid w:val="001B45D4"/>
    <w:rsid w:val="001C0988"/>
    <w:rsid w:val="001C107B"/>
    <w:rsid w:val="001C356E"/>
    <w:rsid w:val="001C412B"/>
    <w:rsid w:val="001C49E7"/>
    <w:rsid w:val="001C4EB5"/>
    <w:rsid w:val="001C6E97"/>
    <w:rsid w:val="001C7EDF"/>
    <w:rsid w:val="001D00A6"/>
    <w:rsid w:val="001D0525"/>
    <w:rsid w:val="001D18DF"/>
    <w:rsid w:val="001D216E"/>
    <w:rsid w:val="001D24BB"/>
    <w:rsid w:val="001D2A30"/>
    <w:rsid w:val="001D2C8C"/>
    <w:rsid w:val="001D32C1"/>
    <w:rsid w:val="001D3587"/>
    <w:rsid w:val="001D4C84"/>
    <w:rsid w:val="001D66D9"/>
    <w:rsid w:val="001E1324"/>
    <w:rsid w:val="001E407C"/>
    <w:rsid w:val="001E4108"/>
    <w:rsid w:val="001E41C9"/>
    <w:rsid w:val="001E7607"/>
    <w:rsid w:val="001F2200"/>
    <w:rsid w:val="001F2F73"/>
    <w:rsid w:val="001F35F5"/>
    <w:rsid w:val="001F4E65"/>
    <w:rsid w:val="001F65AA"/>
    <w:rsid w:val="001F69B4"/>
    <w:rsid w:val="001F6DB7"/>
    <w:rsid w:val="001F6FDA"/>
    <w:rsid w:val="001F737F"/>
    <w:rsid w:val="001F7E1D"/>
    <w:rsid w:val="0020031A"/>
    <w:rsid w:val="00200B3A"/>
    <w:rsid w:val="00200BAC"/>
    <w:rsid w:val="00202A0D"/>
    <w:rsid w:val="00203787"/>
    <w:rsid w:val="00203F2F"/>
    <w:rsid w:val="002044A2"/>
    <w:rsid w:val="00204A75"/>
    <w:rsid w:val="00205096"/>
    <w:rsid w:val="00205D7B"/>
    <w:rsid w:val="00205FF3"/>
    <w:rsid w:val="002100D0"/>
    <w:rsid w:val="002110B8"/>
    <w:rsid w:val="002119B4"/>
    <w:rsid w:val="00211BD9"/>
    <w:rsid w:val="00213E59"/>
    <w:rsid w:val="002161CD"/>
    <w:rsid w:val="00217B5A"/>
    <w:rsid w:val="0022046D"/>
    <w:rsid w:val="00220E63"/>
    <w:rsid w:val="002219E7"/>
    <w:rsid w:val="002225CC"/>
    <w:rsid w:val="00223264"/>
    <w:rsid w:val="002255E3"/>
    <w:rsid w:val="0022783B"/>
    <w:rsid w:val="0023223B"/>
    <w:rsid w:val="002342C7"/>
    <w:rsid w:val="00236567"/>
    <w:rsid w:val="00237278"/>
    <w:rsid w:val="00237A64"/>
    <w:rsid w:val="00240334"/>
    <w:rsid w:val="00240A50"/>
    <w:rsid w:val="0024504B"/>
    <w:rsid w:val="00253138"/>
    <w:rsid w:val="002537FB"/>
    <w:rsid w:val="0025581B"/>
    <w:rsid w:val="00255E7A"/>
    <w:rsid w:val="00256978"/>
    <w:rsid w:val="00256E2F"/>
    <w:rsid w:val="00257CEB"/>
    <w:rsid w:val="00257DEF"/>
    <w:rsid w:val="00260182"/>
    <w:rsid w:val="00260388"/>
    <w:rsid w:val="00261F9A"/>
    <w:rsid w:val="0026238C"/>
    <w:rsid w:val="00264660"/>
    <w:rsid w:val="002647AE"/>
    <w:rsid w:val="00264A8E"/>
    <w:rsid w:val="00265326"/>
    <w:rsid w:val="00266710"/>
    <w:rsid w:val="002669ED"/>
    <w:rsid w:val="00267014"/>
    <w:rsid w:val="00270CA8"/>
    <w:rsid w:val="00271D68"/>
    <w:rsid w:val="00272718"/>
    <w:rsid w:val="00272E6C"/>
    <w:rsid w:val="0027422E"/>
    <w:rsid w:val="00274372"/>
    <w:rsid w:val="00275363"/>
    <w:rsid w:val="00276494"/>
    <w:rsid w:val="002777FB"/>
    <w:rsid w:val="00280205"/>
    <w:rsid w:val="0028432E"/>
    <w:rsid w:val="002850A9"/>
    <w:rsid w:val="00286D65"/>
    <w:rsid w:val="0028729D"/>
    <w:rsid w:val="00290024"/>
    <w:rsid w:val="0029076B"/>
    <w:rsid w:val="00290F5C"/>
    <w:rsid w:val="00291C03"/>
    <w:rsid w:val="00291DE6"/>
    <w:rsid w:val="00292684"/>
    <w:rsid w:val="00292C4B"/>
    <w:rsid w:val="0029364F"/>
    <w:rsid w:val="002969DF"/>
    <w:rsid w:val="002A07BE"/>
    <w:rsid w:val="002A3779"/>
    <w:rsid w:val="002A3A67"/>
    <w:rsid w:val="002A43D3"/>
    <w:rsid w:val="002A5010"/>
    <w:rsid w:val="002A6019"/>
    <w:rsid w:val="002A6410"/>
    <w:rsid w:val="002B090E"/>
    <w:rsid w:val="002B09AB"/>
    <w:rsid w:val="002B1CB4"/>
    <w:rsid w:val="002B30DB"/>
    <w:rsid w:val="002C05A0"/>
    <w:rsid w:val="002C05DB"/>
    <w:rsid w:val="002C0652"/>
    <w:rsid w:val="002C0ED7"/>
    <w:rsid w:val="002C2027"/>
    <w:rsid w:val="002C3274"/>
    <w:rsid w:val="002C337D"/>
    <w:rsid w:val="002C42DE"/>
    <w:rsid w:val="002C58C5"/>
    <w:rsid w:val="002C6A08"/>
    <w:rsid w:val="002C7227"/>
    <w:rsid w:val="002C76DD"/>
    <w:rsid w:val="002C7A99"/>
    <w:rsid w:val="002C7B14"/>
    <w:rsid w:val="002D4B08"/>
    <w:rsid w:val="002D719B"/>
    <w:rsid w:val="002D7763"/>
    <w:rsid w:val="002E0518"/>
    <w:rsid w:val="002E3A84"/>
    <w:rsid w:val="002E614C"/>
    <w:rsid w:val="002E6731"/>
    <w:rsid w:val="002E694D"/>
    <w:rsid w:val="002F0257"/>
    <w:rsid w:val="002F4757"/>
    <w:rsid w:val="002F4E54"/>
    <w:rsid w:val="002F573D"/>
    <w:rsid w:val="002F583E"/>
    <w:rsid w:val="002F6AB0"/>
    <w:rsid w:val="002F706A"/>
    <w:rsid w:val="002F7B7C"/>
    <w:rsid w:val="00300A80"/>
    <w:rsid w:val="00303169"/>
    <w:rsid w:val="003039F9"/>
    <w:rsid w:val="00305923"/>
    <w:rsid w:val="00306B23"/>
    <w:rsid w:val="00311785"/>
    <w:rsid w:val="003139DD"/>
    <w:rsid w:val="003149E4"/>
    <w:rsid w:val="003157CE"/>
    <w:rsid w:val="00316CEE"/>
    <w:rsid w:val="00317A3E"/>
    <w:rsid w:val="00320E72"/>
    <w:rsid w:val="00321DA6"/>
    <w:rsid w:val="00322216"/>
    <w:rsid w:val="00322E4C"/>
    <w:rsid w:val="003239A0"/>
    <w:rsid w:val="00323E90"/>
    <w:rsid w:val="00323EC7"/>
    <w:rsid w:val="003242D6"/>
    <w:rsid w:val="003249E8"/>
    <w:rsid w:val="00324B9E"/>
    <w:rsid w:val="00324DA5"/>
    <w:rsid w:val="00326F5D"/>
    <w:rsid w:val="00330F21"/>
    <w:rsid w:val="00331342"/>
    <w:rsid w:val="00331449"/>
    <w:rsid w:val="003314B8"/>
    <w:rsid w:val="00332004"/>
    <w:rsid w:val="003321A7"/>
    <w:rsid w:val="00332C88"/>
    <w:rsid w:val="00333DA3"/>
    <w:rsid w:val="0033406B"/>
    <w:rsid w:val="0033463C"/>
    <w:rsid w:val="00334C15"/>
    <w:rsid w:val="0033582F"/>
    <w:rsid w:val="00335855"/>
    <w:rsid w:val="00335991"/>
    <w:rsid w:val="00337A0A"/>
    <w:rsid w:val="00340929"/>
    <w:rsid w:val="00341144"/>
    <w:rsid w:val="003428F7"/>
    <w:rsid w:val="003430D7"/>
    <w:rsid w:val="00343C17"/>
    <w:rsid w:val="00343DAB"/>
    <w:rsid w:val="0034518F"/>
    <w:rsid w:val="003479E9"/>
    <w:rsid w:val="00350E10"/>
    <w:rsid w:val="00352AF2"/>
    <w:rsid w:val="00354035"/>
    <w:rsid w:val="003577B3"/>
    <w:rsid w:val="00357A7D"/>
    <w:rsid w:val="00357F61"/>
    <w:rsid w:val="00363164"/>
    <w:rsid w:val="0036407A"/>
    <w:rsid w:val="00364FEE"/>
    <w:rsid w:val="00365033"/>
    <w:rsid w:val="00366E6A"/>
    <w:rsid w:val="0036704F"/>
    <w:rsid w:val="0037096F"/>
    <w:rsid w:val="00371832"/>
    <w:rsid w:val="00372B43"/>
    <w:rsid w:val="0037378C"/>
    <w:rsid w:val="00373C22"/>
    <w:rsid w:val="00375A81"/>
    <w:rsid w:val="003761FE"/>
    <w:rsid w:val="00380CD5"/>
    <w:rsid w:val="00381DB2"/>
    <w:rsid w:val="00382227"/>
    <w:rsid w:val="00382251"/>
    <w:rsid w:val="0038233B"/>
    <w:rsid w:val="00383E27"/>
    <w:rsid w:val="00385257"/>
    <w:rsid w:val="003854D5"/>
    <w:rsid w:val="0038573F"/>
    <w:rsid w:val="00386011"/>
    <w:rsid w:val="00386A93"/>
    <w:rsid w:val="0038727F"/>
    <w:rsid w:val="003878F7"/>
    <w:rsid w:val="00390374"/>
    <w:rsid w:val="00390461"/>
    <w:rsid w:val="00390822"/>
    <w:rsid w:val="003923B9"/>
    <w:rsid w:val="00393591"/>
    <w:rsid w:val="003961DA"/>
    <w:rsid w:val="00397279"/>
    <w:rsid w:val="003A1BAF"/>
    <w:rsid w:val="003A276E"/>
    <w:rsid w:val="003A2BF3"/>
    <w:rsid w:val="003A312C"/>
    <w:rsid w:val="003A34D3"/>
    <w:rsid w:val="003A46A3"/>
    <w:rsid w:val="003A47AA"/>
    <w:rsid w:val="003B1145"/>
    <w:rsid w:val="003B206F"/>
    <w:rsid w:val="003B29D6"/>
    <w:rsid w:val="003B2E3A"/>
    <w:rsid w:val="003B562B"/>
    <w:rsid w:val="003B5B76"/>
    <w:rsid w:val="003B704F"/>
    <w:rsid w:val="003C0AD6"/>
    <w:rsid w:val="003C0D71"/>
    <w:rsid w:val="003C20EB"/>
    <w:rsid w:val="003C3151"/>
    <w:rsid w:val="003C5283"/>
    <w:rsid w:val="003C52B6"/>
    <w:rsid w:val="003C59E0"/>
    <w:rsid w:val="003C5C1A"/>
    <w:rsid w:val="003D0B78"/>
    <w:rsid w:val="003D1EAC"/>
    <w:rsid w:val="003D2128"/>
    <w:rsid w:val="003D2C50"/>
    <w:rsid w:val="003D34F2"/>
    <w:rsid w:val="003D3AB5"/>
    <w:rsid w:val="003D3ED4"/>
    <w:rsid w:val="003D4CEF"/>
    <w:rsid w:val="003D5918"/>
    <w:rsid w:val="003D5C57"/>
    <w:rsid w:val="003D608E"/>
    <w:rsid w:val="003D7D39"/>
    <w:rsid w:val="003E019A"/>
    <w:rsid w:val="003E1D9D"/>
    <w:rsid w:val="003E24EB"/>
    <w:rsid w:val="003E2C3F"/>
    <w:rsid w:val="003E6A00"/>
    <w:rsid w:val="003E6D43"/>
    <w:rsid w:val="003E7F65"/>
    <w:rsid w:val="003F24F5"/>
    <w:rsid w:val="003F2ABF"/>
    <w:rsid w:val="003F7392"/>
    <w:rsid w:val="003F7560"/>
    <w:rsid w:val="004016D9"/>
    <w:rsid w:val="004016E9"/>
    <w:rsid w:val="00401A8D"/>
    <w:rsid w:val="004021F5"/>
    <w:rsid w:val="0040386C"/>
    <w:rsid w:val="00405FB4"/>
    <w:rsid w:val="00406E36"/>
    <w:rsid w:val="004125EA"/>
    <w:rsid w:val="00412BCF"/>
    <w:rsid w:val="004151C5"/>
    <w:rsid w:val="00421369"/>
    <w:rsid w:val="00421EDF"/>
    <w:rsid w:val="00422F46"/>
    <w:rsid w:val="00424653"/>
    <w:rsid w:val="0042689A"/>
    <w:rsid w:val="00426EF7"/>
    <w:rsid w:val="00431320"/>
    <w:rsid w:val="00432AD8"/>
    <w:rsid w:val="0043303D"/>
    <w:rsid w:val="0043343F"/>
    <w:rsid w:val="00433C26"/>
    <w:rsid w:val="00433D49"/>
    <w:rsid w:val="00433D7C"/>
    <w:rsid w:val="00434B6A"/>
    <w:rsid w:val="004356DC"/>
    <w:rsid w:val="004363B4"/>
    <w:rsid w:val="004406D7"/>
    <w:rsid w:val="00440946"/>
    <w:rsid w:val="00440D76"/>
    <w:rsid w:val="00443E12"/>
    <w:rsid w:val="00445263"/>
    <w:rsid w:val="00446166"/>
    <w:rsid w:val="0044699D"/>
    <w:rsid w:val="00446DEC"/>
    <w:rsid w:val="00447584"/>
    <w:rsid w:val="0044778B"/>
    <w:rsid w:val="004504DA"/>
    <w:rsid w:val="00453070"/>
    <w:rsid w:val="00453786"/>
    <w:rsid w:val="004555BF"/>
    <w:rsid w:val="00456552"/>
    <w:rsid w:val="00456BFD"/>
    <w:rsid w:val="00456C7A"/>
    <w:rsid w:val="0046071D"/>
    <w:rsid w:val="004617E2"/>
    <w:rsid w:val="0046185A"/>
    <w:rsid w:val="0046208B"/>
    <w:rsid w:val="0046275D"/>
    <w:rsid w:val="004631D6"/>
    <w:rsid w:val="00466438"/>
    <w:rsid w:val="00467382"/>
    <w:rsid w:val="00467D1A"/>
    <w:rsid w:val="00470A85"/>
    <w:rsid w:val="00471588"/>
    <w:rsid w:val="00473E3F"/>
    <w:rsid w:val="004740A0"/>
    <w:rsid w:val="00475696"/>
    <w:rsid w:val="00476C85"/>
    <w:rsid w:val="00480BE7"/>
    <w:rsid w:val="00480C91"/>
    <w:rsid w:val="00483700"/>
    <w:rsid w:val="00487C98"/>
    <w:rsid w:val="004906A4"/>
    <w:rsid w:val="0049197F"/>
    <w:rsid w:val="0049246C"/>
    <w:rsid w:val="00494AAC"/>
    <w:rsid w:val="004A03BC"/>
    <w:rsid w:val="004A11BD"/>
    <w:rsid w:val="004A1BC0"/>
    <w:rsid w:val="004A262B"/>
    <w:rsid w:val="004A2658"/>
    <w:rsid w:val="004A2D7E"/>
    <w:rsid w:val="004A4184"/>
    <w:rsid w:val="004A585F"/>
    <w:rsid w:val="004A719D"/>
    <w:rsid w:val="004B0372"/>
    <w:rsid w:val="004B5233"/>
    <w:rsid w:val="004B7F78"/>
    <w:rsid w:val="004C0D1E"/>
    <w:rsid w:val="004C1C4D"/>
    <w:rsid w:val="004C4A0F"/>
    <w:rsid w:val="004C504A"/>
    <w:rsid w:val="004D0668"/>
    <w:rsid w:val="004D17F0"/>
    <w:rsid w:val="004D2074"/>
    <w:rsid w:val="004D283E"/>
    <w:rsid w:val="004D2AA0"/>
    <w:rsid w:val="004D2F9E"/>
    <w:rsid w:val="004D30B4"/>
    <w:rsid w:val="004D3260"/>
    <w:rsid w:val="004D4111"/>
    <w:rsid w:val="004D5E52"/>
    <w:rsid w:val="004D5E8E"/>
    <w:rsid w:val="004D60C1"/>
    <w:rsid w:val="004D6B54"/>
    <w:rsid w:val="004D79DA"/>
    <w:rsid w:val="004D7EAF"/>
    <w:rsid w:val="004E058B"/>
    <w:rsid w:val="004E1C3C"/>
    <w:rsid w:val="004E400C"/>
    <w:rsid w:val="004E4AE1"/>
    <w:rsid w:val="004E513A"/>
    <w:rsid w:val="004E5211"/>
    <w:rsid w:val="004E52A4"/>
    <w:rsid w:val="004E5FB0"/>
    <w:rsid w:val="004F06AD"/>
    <w:rsid w:val="004F1BF3"/>
    <w:rsid w:val="004F4189"/>
    <w:rsid w:val="004F54FC"/>
    <w:rsid w:val="004F6A45"/>
    <w:rsid w:val="004F6E79"/>
    <w:rsid w:val="004F7C1B"/>
    <w:rsid w:val="005008C7"/>
    <w:rsid w:val="005010A0"/>
    <w:rsid w:val="0050112D"/>
    <w:rsid w:val="005031C1"/>
    <w:rsid w:val="005055AE"/>
    <w:rsid w:val="00505C47"/>
    <w:rsid w:val="00507EDF"/>
    <w:rsid w:val="00510414"/>
    <w:rsid w:val="00510A01"/>
    <w:rsid w:val="00513E0F"/>
    <w:rsid w:val="00513FED"/>
    <w:rsid w:val="00513FF5"/>
    <w:rsid w:val="00516116"/>
    <w:rsid w:val="0051624E"/>
    <w:rsid w:val="00516CCF"/>
    <w:rsid w:val="00520436"/>
    <w:rsid w:val="005209BF"/>
    <w:rsid w:val="00521707"/>
    <w:rsid w:val="005300BE"/>
    <w:rsid w:val="005300D0"/>
    <w:rsid w:val="0053262F"/>
    <w:rsid w:val="00534C81"/>
    <w:rsid w:val="005366AB"/>
    <w:rsid w:val="00536790"/>
    <w:rsid w:val="00536A4B"/>
    <w:rsid w:val="00537C6D"/>
    <w:rsid w:val="005416A6"/>
    <w:rsid w:val="00542ED1"/>
    <w:rsid w:val="00544671"/>
    <w:rsid w:val="005466C6"/>
    <w:rsid w:val="00546EF4"/>
    <w:rsid w:val="00547AF8"/>
    <w:rsid w:val="0055154E"/>
    <w:rsid w:val="005536CA"/>
    <w:rsid w:val="00553C16"/>
    <w:rsid w:val="005555DA"/>
    <w:rsid w:val="005564D0"/>
    <w:rsid w:val="00557B55"/>
    <w:rsid w:val="005602DB"/>
    <w:rsid w:val="0056236A"/>
    <w:rsid w:val="0056315E"/>
    <w:rsid w:val="00564311"/>
    <w:rsid w:val="0056431B"/>
    <w:rsid w:val="00567995"/>
    <w:rsid w:val="00570F60"/>
    <w:rsid w:val="00572350"/>
    <w:rsid w:val="00572C49"/>
    <w:rsid w:val="00574313"/>
    <w:rsid w:val="00574F22"/>
    <w:rsid w:val="00574FA0"/>
    <w:rsid w:val="0057581D"/>
    <w:rsid w:val="00575BAB"/>
    <w:rsid w:val="005768EE"/>
    <w:rsid w:val="00577A49"/>
    <w:rsid w:val="005800C5"/>
    <w:rsid w:val="00580CD1"/>
    <w:rsid w:val="005816C8"/>
    <w:rsid w:val="0058267C"/>
    <w:rsid w:val="00583FCD"/>
    <w:rsid w:val="00584037"/>
    <w:rsid w:val="00585D89"/>
    <w:rsid w:val="00586F79"/>
    <w:rsid w:val="0059078E"/>
    <w:rsid w:val="00590AF7"/>
    <w:rsid w:val="00590B16"/>
    <w:rsid w:val="00591731"/>
    <w:rsid w:val="00591DE9"/>
    <w:rsid w:val="00593BE5"/>
    <w:rsid w:val="00594AD1"/>
    <w:rsid w:val="00595DC6"/>
    <w:rsid w:val="00595F83"/>
    <w:rsid w:val="00596104"/>
    <w:rsid w:val="005A2469"/>
    <w:rsid w:val="005A3A2B"/>
    <w:rsid w:val="005A460E"/>
    <w:rsid w:val="005A4745"/>
    <w:rsid w:val="005A4BD7"/>
    <w:rsid w:val="005A5CC0"/>
    <w:rsid w:val="005A798F"/>
    <w:rsid w:val="005B298F"/>
    <w:rsid w:val="005B2BF2"/>
    <w:rsid w:val="005B2EB5"/>
    <w:rsid w:val="005B2FB0"/>
    <w:rsid w:val="005B442F"/>
    <w:rsid w:val="005B517C"/>
    <w:rsid w:val="005B6F5A"/>
    <w:rsid w:val="005C2D87"/>
    <w:rsid w:val="005C3084"/>
    <w:rsid w:val="005C3259"/>
    <w:rsid w:val="005C4024"/>
    <w:rsid w:val="005C7701"/>
    <w:rsid w:val="005D1D46"/>
    <w:rsid w:val="005D1D54"/>
    <w:rsid w:val="005D2063"/>
    <w:rsid w:val="005D2DE3"/>
    <w:rsid w:val="005D30BA"/>
    <w:rsid w:val="005D46A6"/>
    <w:rsid w:val="005D5778"/>
    <w:rsid w:val="005D5C6D"/>
    <w:rsid w:val="005D5E1F"/>
    <w:rsid w:val="005D5EB1"/>
    <w:rsid w:val="005D6BA7"/>
    <w:rsid w:val="005D7E94"/>
    <w:rsid w:val="005E0338"/>
    <w:rsid w:val="005E2E3C"/>
    <w:rsid w:val="005E3C55"/>
    <w:rsid w:val="005E4146"/>
    <w:rsid w:val="005E5553"/>
    <w:rsid w:val="005E5A3D"/>
    <w:rsid w:val="005E5A86"/>
    <w:rsid w:val="005E6076"/>
    <w:rsid w:val="005E6A41"/>
    <w:rsid w:val="005E7777"/>
    <w:rsid w:val="005F00FE"/>
    <w:rsid w:val="005F2C40"/>
    <w:rsid w:val="005F444C"/>
    <w:rsid w:val="005F6480"/>
    <w:rsid w:val="005F747A"/>
    <w:rsid w:val="0060105A"/>
    <w:rsid w:val="00604607"/>
    <w:rsid w:val="006053F8"/>
    <w:rsid w:val="00607BFC"/>
    <w:rsid w:val="00611587"/>
    <w:rsid w:val="0061196F"/>
    <w:rsid w:val="006161F5"/>
    <w:rsid w:val="00616374"/>
    <w:rsid w:val="006166B3"/>
    <w:rsid w:val="00622A1C"/>
    <w:rsid w:val="00622FAB"/>
    <w:rsid w:val="006240BD"/>
    <w:rsid w:val="00624131"/>
    <w:rsid w:val="0062558C"/>
    <w:rsid w:val="00625775"/>
    <w:rsid w:val="00626B48"/>
    <w:rsid w:val="00631262"/>
    <w:rsid w:val="00632758"/>
    <w:rsid w:val="00632C62"/>
    <w:rsid w:val="00633680"/>
    <w:rsid w:val="00633B6F"/>
    <w:rsid w:val="00634136"/>
    <w:rsid w:val="006343AB"/>
    <w:rsid w:val="006368E0"/>
    <w:rsid w:val="00640157"/>
    <w:rsid w:val="0064171C"/>
    <w:rsid w:val="00650216"/>
    <w:rsid w:val="006517D7"/>
    <w:rsid w:val="0065285A"/>
    <w:rsid w:val="00652E08"/>
    <w:rsid w:val="00653D4E"/>
    <w:rsid w:val="00654FA3"/>
    <w:rsid w:val="006550AE"/>
    <w:rsid w:val="006562C3"/>
    <w:rsid w:val="006566D5"/>
    <w:rsid w:val="00657019"/>
    <w:rsid w:val="00660033"/>
    <w:rsid w:val="00660884"/>
    <w:rsid w:val="00660BFF"/>
    <w:rsid w:val="00664195"/>
    <w:rsid w:val="00664221"/>
    <w:rsid w:val="006661CB"/>
    <w:rsid w:val="006667B6"/>
    <w:rsid w:val="00666FC1"/>
    <w:rsid w:val="00667EAB"/>
    <w:rsid w:val="00670959"/>
    <w:rsid w:val="00671250"/>
    <w:rsid w:val="00675562"/>
    <w:rsid w:val="006755CA"/>
    <w:rsid w:val="00675F65"/>
    <w:rsid w:val="00676279"/>
    <w:rsid w:val="0068000B"/>
    <w:rsid w:val="0068157C"/>
    <w:rsid w:val="006821B7"/>
    <w:rsid w:val="006822B9"/>
    <w:rsid w:val="006831D0"/>
    <w:rsid w:val="0068352E"/>
    <w:rsid w:val="006847D7"/>
    <w:rsid w:val="0068578C"/>
    <w:rsid w:val="00686AC0"/>
    <w:rsid w:val="00687835"/>
    <w:rsid w:val="00687B84"/>
    <w:rsid w:val="00690964"/>
    <w:rsid w:val="006927DD"/>
    <w:rsid w:val="00693B3A"/>
    <w:rsid w:val="0069498E"/>
    <w:rsid w:val="00694EDD"/>
    <w:rsid w:val="0069518B"/>
    <w:rsid w:val="00695EA9"/>
    <w:rsid w:val="006961E1"/>
    <w:rsid w:val="006971CD"/>
    <w:rsid w:val="006A1280"/>
    <w:rsid w:val="006A1B71"/>
    <w:rsid w:val="006A2736"/>
    <w:rsid w:val="006A36D7"/>
    <w:rsid w:val="006A437B"/>
    <w:rsid w:val="006A5427"/>
    <w:rsid w:val="006A704B"/>
    <w:rsid w:val="006A7A72"/>
    <w:rsid w:val="006B0561"/>
    <w:rsid w:val="006B0D0E"/>
    <w:rsid w:val="006B1DB5"/>
    <w:rsid w:val="006B300D"/>
    <w:rsid w:val="006B4215"/>
    <w:rsid w:val="006B4675"/>
    <w:rsid w:val="006B4D95"/>
    <w:rsid w:val="006B5112"/>
    <w:rsid w:val="006B592A"/>
    <w:rsid w:val="006B626C"/>
    <w:rsid w:val="006B74B9"/>
    <w:rsid w:val="006C07B3"/>
    <w:rsid w:val="006C133B"/>
    <w:rsid w:val="006C1E5A"/>
    <w:rsid w:val="006C23C7"/>
    <w:rsid w:val="006C2E3D"/>
    <w:rsid w:val="006C7321"/>
    <w:rsid w:val="006C7812"/>
    <w:rsid w:val="006C7E08"/>
    <w:rsid w:val="006C7E9C"/>
    <w:rsid w:val="006D22E9"/>
    <w:rsid w:val="006D232A"/>
    <w:rsid w:val="006D45C5"/>
    <w:rsid w:val="006D4965"/>
    <w:rsid w:val="006D59DF"/>
    <w:rsid w:val="006D63A1"/>
    <w:rsid w:val="006D67E7"/>
    <w:rsid w:val="006D78FA"/>
    <w:rsid w:val="006E0703"/>
    <w:rsid w:val="006E0E8A"/>
    <w:rsid w:val="006E1160"/>
    <w:rsid w:val="006E25B0"/>
    <w:rsid w:val="006E31E1"/>
    <w:rsid w:val="006E34BA"/>
    <w:rsid w:val="006E4813"/>
    <w:rsid w:val="006E5151"/>
    <w:rsid w:val="006E553C"/>
    <w:rsid w:val="006E6E74"/>
    <w:rsid w:val="006E7E71"/>
    <w:rsid w:val="006F04BA"/>
    <w:rsid w:val="006F2E76"/>
    <w:rsid w:val="006F7ADD"/>
    <w:rsid w:val="00701F36"/>
    <w:rsid w:val="0070302F"/>
    <w:rsid w:val="00705235"/>
    <w:rsid w:val="00705298"/>
    <w:rsid w:val="00706A45"/>
    <w:rsid w:val="00707645"/>
    <w:rsid w:val="00710F2B"/>
    <w:rsid w:val="00714778"/>
    <w:rsid w:val="0071525E"/>
    <w:rsid w:val="00715991"/>
    <w:rsid w:val="00716154"/>
    <w:rsid w:val="00716C6F"/>
    <w:rsid w:val="00717755"/>
    <w:rsid w:val="0072149C"/>
    <w:rsid w:val="0072163D"/>
    <w:rsid w:val="00721825"/>
    <w:rsid w:val="00722FC6"/>
    <w:rsid w:val="00725D0D"/>
    <w:rsid w:val="00725DEF"/>
    <w:rsid w:val="00726509"/>
    <w:rsid w:val="00726B4F"/>
    <w:rsid w:val="00727011"/>
    <w:rsid w:val="00730525"/>
    <w:rsid w:val="0073187E"/>
    <w:rsid w:val="007333DC"/>
    <w:rsid w:val="007344D9"/>
    <w:rsid w:val="00735987"/>
    <w:rsid w:val="00742A17"/>
    <w:rsid w:val="00742BC1"/>
    <w:rsid w:val="00742EBE"/>
    <w:rsid w:val="0074349D"/>
    <w:rsid w:val="00743739"/>
    <w:rsid w:val="007439B2"/>
    <w:rsid w:val="00743D43"/>
    <w:rsid w:val="00743EFE"/>
    <w:rsid w:val="0074565A"/>
    <w:rsid w:val="007500C7"/>
    <w:rsid w:val="0075084B"/>
    <w:rsid w:val="007544EA"/>
    <w:rsid w:val="007572A6"/>
    <w:rsid w:val="007601A0"/>
    <w:rsid w:val="007604CC"/>
    <w:rsid w:val="00760935"/>
    <w:rsid w:val="0076223E"/>
    <w:rsid w:val="0076239F"/>
    <w:rsid w:val="00763212"/>
    <w:rsid w:val="00764277"/>
    <w:rsid w:val="00765953"/>
    <w:rsid w:val="00766336"/>
    <w:rsid w:val="00767139"/>
    <w:rsid w:val="0076741D"/>
    <w:rsid w:val="00770E57"/>
    <w:rsid w:val="00771B41"/>
    <w:rsid w:val="007723AA"/>
    <w:rsid w:val="00772FFD"/>
    <w:rsid w:val="0078404E"/>
    <w:rsid w:val="00785FB4"/>
    <w:rsid w:val="00786FF0"/>
    <w:rsid w:val="00787E29"/>
    <w:rsid w:val="00791280"/>
    <w:rsid w:val="00797020"/>
    <w:rsid w:val="00797D0C"/>
    <w:rsid w:val="007A17B7"/>
    <w:rsid w:val="007A17BC"/>
    <w:rsid w:val="007A2EDA"/>
    <w:rsid w:val="007A31E3"/>
    <w:rsid w:val="007A4564"/>
    <w:rsid w:val="007A548F"/>
    <w:rsid w:val="007A60E4"/>
    <w:rsid w:val="007A6319"/>
    <w:rsid w:val="007A6F42"/>
    <w:rsid w:val="007A75D5"/>
    <w:rsid w:val="007A7951"/>
    <w:rsid w:val="007A79DA"/>
    <w:rsid w:val="007B0789"/>
    <w:rsid w:val="007B0F89"/>
    <w:rsid w:val="007B1600"/>
    <w:rsid w:val="007B1CC5"/>
    <w:rsid w:val="007B2839"/>
    <w:rsid w:val="007B28CB"/>
    <w:rsid w:val="007B484F"/>
    <w:rsid w:val="007B61B4"/>
    <w:rsid w:val="007B6595"/>
    <w:rsid w:val="007B6D8C"/>
    <w:rsid w:val="007B7333"/>
    <w:rsid w:val="007B7436"/>
    <w:rsid w:val="007C1CAB"/>
    <w:rsid w:val="007C26B7"/>
    <w:rsid w:val="007C34DD"/>
    <w:rsid w:val="007C5053"/>
    <w:rsid w:val="007C523F"/>
    <w:rsid w:val="007C5F3A"/>
    <w:rsid w:val="007C733F"/>
    <w:rsid w:val="007C7A4A"/>
    <w:rsid w:val="007D0305"/>
    <w:rsid w:val="007D0A1C"/>
    <w:rsid w:val="007D1640"/>
    <w:rsid w:val="007D2419"/>
    <w:rsid w:val="007D29AA"/>
    <w:rsid w:val="007D37CF"/>
    <w:rsid w:val="007D5328"/>
    <w:rsid w:val="007D638D"/>
    <w:rsid w:val="007D6C07"/>
    <w:rsid w:val="007D79B5"/>
    <w:rsid w:val="007E2BCA"/>
    <w:rsid w:val="007E35EE"/>
    <w:rsid w:val="007E380B"/>
    <w:rsid w:val="007E3AB9"/>
    <w:rsid w:val="007E3FB8"/>
    <w:rsid w:val="007E4B55"/>
    <w:rsid w:val="007E5D47"/>
    <w:rsid w:val="007E71AF"/>
    <w:rsid w:val="007F1A34"/>
    <w:rsid w:val="007F1FC7"/>
    <w:rsid w:val="007F23D3"/>
    <w:rsid w:val="007F3C8B"/>
    <w:rsid w:val="007F723B"/>
    <w:rsid w:val="007F7465"/>
    <w:rsid w:val="007F7A04"/>
    <w:rsid w:val="007F7CE1"/>
    <w:rsid w:val="0080052E"/>
    <w:rsid w:val="00801076"/>
    <w:rsid w:val="00801234"/>
    <w:rsid w:val="008013AD"/>
    <w:rsid w:val="00801C5B"/>
    <w:rsid w:val="00802C92"/>
    <w:rsid w:val="00803EE7"/>
    <w:rsid w:val="008068A5"/>
    <w:rsid w:val="008070E6"/>
    <w:rsid w:val="0080781C"/>
    <w:rsid w:val="0081002F"/>
    <w:rsid w:val="00811433"/>
    <w:rsid w:val="00812ECA"/>
    <w:rsid w:val="00813040"/>
    <w:rsid w:val="008135E3"/>
    <w:rsid w:val="00813D4B"/>
    <w:rsid w:val="00814451"/>
    <w:rsid w:val="008225A8"/>
    <w:rsid w:val="00824549"/>
    <w:rsid w:val="00827B9A"/>
    <w:rsid w:val="0083077F"/>
    <w:rsid w:val="00831920"/>
    <w:rsid w:val="008338DC"/>
    <w:rsid w:val="00834297"/>
    <w:rsid w:val="00834616"/>
    <w:rsid w:val="008359D7"/>
    <w:rsid w:val="008365E5"/>
    <w:rsid w:val="00836E4F"/>
    <w:rsid w:val="00837087"/>
    <w:rsid w:val="008371D4"/>
    <w:rsid w:val="008403B3"/>
    <w:rsid w:val="00841056"/>
    <w:rsid w:val="00842184"/>
    <w:rsid w:val="008429AE"/>
    <w:rsid w:val="00842E71"/>
    <w:rsid w:val="00844E68"/>
    <w:rsid w:val="00844EE1"/>
    <w:rsid w:val="008458D7"/>
    <w:rsid w:val="00845AF4"/>
    <w:rsid w:val="00846152"/>
    <w:rsid w:val="008503CA"/>
    <w:rsid w:val="00851865"/>
    <w:rsid w:val="00852C9D"/>
    <w:rsid w:val="00854AAB"/>
    <w:rsid w:val="00855A3E"/>
    <w:rsid w:val="00856D19"/>
    <w:rsid w:val="008573FA"/>
    <w:rsid w:val="00857D4B"/>
    <w:rsid w:val="008635FF"/>
    <w:rsid w:val="008646DD"/>
    <w:rsid w:val="00864DC0"/>
    <w:rsid w:val="00864FBD"/>
    <w:rsid w:val="008652CF"/>
    <w:rsid w:val="00866D18"/>
    <w:rsid w:val="00866D35"/>
    <w:rsid w:val="00867D30"/>
    <w:rsid w:val="008711D4"/>
    <w:rsid w:val="00872122"/>
    <w:rsid w:val="00872666"/>
    <w:rsid w:val="00875158"/>
    <w:rsid w:val="0087576D"/>
    <w:rsid w:val="008759EE"/>
    <w:rsid w:val="00875AF6"/>
    <w:rsid w:val="008768BB"/>
    <w:rsid w:val="00876A17"/>
    <w:rsid w:val="00882F5D"/>
    <w:rsid w:val="00883161"/>
    <w:rsid w:val="00884A3A"/>
    <w:rsid w:val="00884AAF"/>
    <w:rsid w:val="00885F04"/>
    <w:rsid w:val="00886770"/>
    <w:rsid w:val="0088694B"/>
    <w:rsid w:val="00886F31"/>
    <w:rsid w:val="00890432"/>
    <w:rsid w:val="0089078A"/>
    <w:rsid w:val="00891DC4"/>
    <w:rsid w:val="00895B09"/>
    <w:rsid w:val="008A2A87"/>
    <w:rsid w:val="008A36FF"/>
    <w:rsid w:val="008A4DF6"/>
    <w:rsid w:val="008A5E9B"/>
    <w:rsid w:val="008A5ED5"/>
    <w:rsid w:val="008A6524"/>
    <w:rsid w:val="008B156C"/>
    <w:rsid w:val="008B2543"/>
    <w:rsid w:val="008B2A87"/>
    <w:rsid w:val="008B3424"/>
    <w:rsid w:val="008B4A48"/>
    <w:rsid w:val="008B7595"/>
    <w:rsid w:val="008B782D"/>
    <w:rsid w:val="008C2B9B"/>
    <w:rsid w:val="008C4AB0"/>
    <w:rsid w:val="008D00E8"/>
    <w:rsid w:val="008D0BC1"/>
    <w:rsid w:val="008D1025"/>
    <w:rsid w:val="008D375D"/>
    <w:rsid w:val="008D5516"/>
    <w:rsid w:val="008D7019"/>
    <w:rsid w:val="008E1E73"/>
    <w:rsid w:val="008E2154"/>
    <w:rsid w:val="008E284D"/>
    <w:rsid w:val="008E3C08"/>
    <w:rsid w:val="008E3F91"/>
    <w:rsid w:val="008E51E4"/>
    <w:rsid w:val="008E7026"/>
    <w:rsid w:val="008F0434"/>
    <w:rsid w:val="008F16CB"/>
    <w:rsid w:val="008F1DEE"/>
    <w:rsid w:val="008F524E"/>
    <w:rsid w:val="008F6560"/>
    <w:rsid w:val="008F6ACA"/>
    <w:rsid w:val="008F76CE"/>
    <w:rsid w:val="009012AF"/>
    <w:rsid w:val="00903B97"/>
    <w:rsid w:val="00904C88"/>
    <w:rsid w:val="00905252"/>
    <w:rsid w:val="00905BA5"/>
    <w:rsid w:val="0090726E"/>
    <w:rsid w:val="00907E91"/>
    <w:rsid w:val="00910347"/>
    <w:rsid w:val="00911590"/>
    <w:rsid w:val="00911AD6"/>
    <w:rsid w:val="009132A6"/>
    <w:rsid w:val="00913FDD"/>
    <w:rsid w:val="0091759A"/>
    <w:rsid w:val="00917F59"/>
    <w:rsid w:val="009213E1"/>
    <w:rsid w:val="0092164E"/>
    <w:rsid w:val="0092201F"/>
    <w:rsid w:val="00922D8A"/>
    <w:rsid w:val="00922FA5"/>
    <w:rsid w:val="009232A4"/>
    <w:rsid w:val="00924677"/>
    <w:rsid w:val="0092522B"/>
    <w:rsid w:val="00931FEA"/>
    <w:rsid w:val="00932BDF"/>
    <w:rsid w:val="0093353B"/>
    <w:rsid w:val="00936BD6"/>
    <w:rsid w:val="00937A28"/>
    <w:rsid w:val="009413CA"/>
    <w:rsid w:val="00942389"/>
    <w:rsid w:val="00944237"/>
    <w:rsid w:val="00944DBF"/>
    <w:rsid w:val="00944FF1"/>
    <w:rsid w:val="0094664B"/>
    <w:rsid w:val="00946729"/>
    <w:rsid w:val="00950590"/>
    <w:rsid w:val="009511D5"/>
    <w:rsid w:val="009520B9"/>
    <w:rsid w:val="0095668C"/>
    <w:rsid w:val="0096147E"/>
    <w:rsid w:val="00961591"/>
    <w:rsid w:val="0096301E"/>
    <w:rsid w:val="009656C0"/>
    <w:rsid w:val="009664BF"/>
    <w:rsid w:val="009674AC"/>
    <w:rsid w:val="00972CE8"/>
    <w:rsid w:val="00982182"/>
    <w:rsid w:val="00982215"/>
    <w:rsid w:val="00983F5F"/>
    <w:rsid w:val="00991D6C"/>
    <w:rsid w:val="0099265D"/>
    <w:rsid w:val="00995E12"/>
    <w:rsid w:val="00997D5D"/>
    <w:rsid w:val="009A01B3"/>
    <w:rsid w:val="009A216B"/>
    <w:rsid w:val="009A298C"/>
    <w:rsid w:val="009A3020"/>
    <w:rsid w:val="009A3B37"/>
    <w:rsid w:val="009A4E75"/>
    <w:rsid w:val="009A509C"/>
    <w:rsid w:val="009A56E4"/>
    <w:rsid w:val="009A5B46"/>
    <w:rsid w:val="009A7FD5"/>
    <w:rsid w:val="009B05E0"/>
    <w:rsid w:val="009B0D97"/>
    <w:rsid w:val="009B2E5F"/>
    <w:rsid w:val="009B3057"/>
    <w:rsid w:val="009B5C11"/>
    <w:rsid w:val="009B5DF2"/>
    <w:rsid w:val="009C1AFE"/>
    <w:rsid w:val="009C4B7B"/>
    <w:rsid w:val="009C4FBC"/>
    <w:rsid w:val="009C5298"/>
    <w:rsid w:val="009C6D7D"/>
    <w:rsid w:val="009C6DE1"/>
    <w:rsid w:val="009C7A05"/>
    <w:rsid w:val="009D0F58"/>
    <w:rsid w:val="009D1725"/>
    <w:rsid w:val="009D1D9E"/>
    <w:rsid w:val="009D2AAF"/>
    <w:rsid w:val="009D2F9B"/>
    <w:rsid w:val="009D317D"/>
    <w:rsid w:val="009D3764"/>
    <w:rsid w:val="009D420C"/>
    <w:rsid w:val="009D480A"/>
    <w:rsid w:val="009D5D42"/>
    <w:rsid w:val="009D655F"/>
    <w:rsid w:val="009D6697"/>
    <w:rsid w:val="009E287D"/>
    <w:rsid w:val="009E5326"/>
    <w:rsid w:val="009E5D6B"/>
    <w:rsid w:val="009E6918"/>
    <w:rsid w:val="009F1014"/>
    <w:rsid w:val="009F1015"/>
    <w:rsid w:val="009F20DA"/>
    <w:rsid w:val="009F3183"/>
    <w:rsid w:val="009F3CE6"/>
    <w:rsid w:val="009F3D4D"/>
    <w:rsid w:val="009F4733"/>
    <w:rsid w:val="009F7D44"/>
    <w:rsid w:val="00A0102F"/>
    <w:rsid w:val="00A0257A"/>
    <w:rsid w:val="00A03773"/>
    <w:rsid w:val="00A0383A"/>
    <w:rsid w:val="00A0659C"/>
    <w:rsid w:val="00A10C17"/>
    <w:rsid w:val="00A14B00"/>
    <w:rsid w:val="00A16B7B"/>
    <w:rsid w:val="00A21603"/>
    <w:rsid w:val="00A2265D"/>
    <w:rsid w:val="00A23953"/>
    <w:rsid w:val="00A25D99"/>
    <w:rsid w:val="00A278DA"/>
    <w:rsid w:val="00A27A3F"/>
    <w:rsid w:val="00A27F25"/>
    <w:rsid w:val="00A30754"/>
    <w:rsid w:val="00A31765"/>
    <w:rsid w:val="00A31D4F"/>
    <w:rsid w:val="00A331AD"/>
    <w:rsid w:val="00A33CE5"/>
    <w:rsid w:val="00A361AF"/>
    <w:rsid w:val="00A37C1D"/>
    <w:rsid w:val="00A40635"/>
    <w:rsid w:val="00A40C14"/>
    <w:rsid w:val="00A42C45"/>
    <w:rsid w:val="00A4347E"/>
    <w:rsid w:val="00A459AE"/>
    <w:rsid w:val="00A47545"/>
    <w:rsid w:val="00A47813"/>
    <w:rsid w:val="00A4793D"/>
    <w:rsid w:val="00A47F0E"/>
    <w:rsid w:val="00A5172E"/>
    <w:rsid w:val="00A51BC0"/>
    <w:rsid w:val="00A526FF"/>
    <w:rsid w:val="00A53F7F"/>
    <w:rsid w:val="00A555FB"/>
    <w:rsid w:val="00A559A3"/>
    <w:rsid w:val="00A56223"/>
    <w:rsid w:val="00A5658D"/>
    <w:rsid w:val="00A569A2"/>
    <w:rsid w:val="00A571AE"/>
    <w:rsid w:val="00A57E7F"/>
    <w:rsid w:val="00A60110"/>
    <w:rsid w:val="00A6191E"/>
    <w:rsid w:val="00A6224B"/>
    <w:rsid w:val="00A62D24"/>
    <w:rsid w:val="00A63DBE"/>
    <w:rsid w:val="00A65F87"/>
    <w:rsid w:val="00A670D3"/>
    <w:rsid w:val="00A679AE"/>
    <w:rsid w:val="00A710D9"/>
    <w:rsid w:val="00A7143D"/>
    <w:rsid w:val="00A715A5"/>
    <w:rsid w:val="00A71A86"/>
    <w:rsid w:val="00A71D4A"/>
    <w:rsid w:val="00A72685"/>
    <w:rsid w:val="00A726E7"/>
    <w:rsid w:val="00A734EF"/>
    <w:rsid w:val="00A74FD4"/>
    <w:rsid w:val="00A76799"/>
    <w:rsid w:val="00A76D57"/>
    <w:rsid w:val="00A77C45"/>
    <w:rsid w:val="00A8086A"/>
    <w:rsid w:val="00A812F7"/>
    <w:rsid w:val="00A82425"/>
    <w:rsid w:val="00A82447"/>
    <w:rsid w:val="00A83695"/>
    <w:rsid w:val="00A83900"/>
    <w:rsid w:val="00A83BEC"/>
    <w:rsid w:val="00A8411A"/>
    <w:rsid w:val="00A84D72"/>
    <w:rsid w:val="00A86496"/>
    <w:rsid w:val="00A86B76"/>
    <w:rsid w:val="00A905B7"/>
    <w:rsid w:val="00A9095A"/>
    <w:rsid w:val="00A92431"/>
    <w:rsid w:val="00A956D6"/>
    <w:rsid w:val="00A9667E"/>
    <w:rsid w:val="00A96E7E"/>
    <w:rsid w:val="00A9793F"/>
    <w:rsid w:val="00AA0135"/>
    <w:rsid w:val="00AA0659"/>
    <w:rsid w:val="00AA0905"/>
    <w:rsid w:val="00AA0F44"/>
    <w:rsid w:val="00AA16FD"/>
    <w:rsid w:val="00AA2A9E"/>
    <w:rsid w:val="00AA6F97"/>
    <w:rsid w:val="00AB07F5"/>
    <w:rsid w:val="00AB09C1"/>
    <w:rsid w:val="00AB15D5"/>
    <w:rsid w:val="00AB24B1"/>
    <w:rsid w:val="00AB30D7"/>
    <w:rsid w:val="00AB3B07"/>
    <w:rsid w:val="00AB3FEB"/>
    <w:rsid w:val="00AB48DD"/>
    <w:rsid w:val="00AB566C"/>
    <w:rsid w:val="00AB657E"/>
    <w:rsid w:val="00AB73A1"/>
    <w:rsid w:val="00AC1534"/>
    <w:rsid w:val="00AC585F"/>
    <w:rsid w:val="00AC7B36"/>
    <w:rsid w:val="00AD0F34"/>
    <w:rsid w:val="00AD2506"/>
    <w:rsid w:val="00AD461E"/>
    <w:rsid w:val="00AD5EAE"/>
    <w:rsid w:val="00AD6D32"/>
    <w:rsid w:val="00AE1F6E"/>
    <w:rsid w:val="00AE3B59"/>
    <w:rsid w:val="00AE3CF0"/>
    <w:rsid w:val="00AE442E"/>
    <w:rsid w:val="00AE721E"/>
    <w:rsid w:val="00AE7DE8"/>
    <w:rsid w:val="00AF0983"/>
    <w:rsid w:val="00AF1F99"/>
    <w:rsid w:val="00AF34A9"/>
    <w:rsid w:val="00AF37AF"/>
    <w:rsid w:val="00AF7857"/>
    <w:rsid w:val="00B01497"/>
    <w:rsid w:val="00B018B1"/>
    <w:rsid w:val="00B01CFD"/>
    <w:rsid w:val="00B0218B"/>
    <w:rsid w:val="00B02718"/>
    <w:rsid w:val="00B03890"/>
    <w:rsid w:val="00B039CF"/>
    <w:rsid w:val="00B047C2"/>
    <w:rsid w:val="00B04C27"/>
    <w:rsid w:val="00B0720C"/>
    <w:rsid w:val="00B079EB"/>
    <w:rsid w:val="00B109A8"/>
    <w:rsid w:val="00B10CD2"/>
    <w:rsid w:val="00B15CAB"/>
    <w:rsid w:val="00B17371"/>
    <w:rsid w:val="00B2084A"/>
    <w:rsid w:val="00B20D39"/>
    <w:rsid w:val="00B236D3"/>
    <w:rsid w:val="00B23DAA"/>
    <w:rsid w:val="00B2512B"/>
    <w:rsid w:val="00B25F9D"/>
    <w:rsid w:val="00B260BF"/>
    <w:rsid w:val="00B264BA"/>
    <w:rsid w:val="00B2700A"/>
    <w:rsid w:val="00B279B0"/>
    <w:rsid w:val="00B27C87"/>
    <w:rsid w:val="00B3104D"/>
    <w:rsid w:val="00B32DF4"/>
    <w:rsid w:val="00B34948"/>
    <w:rsid w:val="00B36097"/>
    <w:rsid w:val="00B36ACC"/>
    <w:rsid w:val="00B36FDF"/>
    <w:rsid w:val="00B4016F"/>
    <w:rsid w:val="00B4206B"/>
    <w:rsid w:val="00B428D1"/>
    <w:rsid w:val="00B42990"/>
    <w:rsid w:val="00B43844"/>
    <w:rsid w:val="00B43DF5"/>
    <w:rsid w:val="00B45851"/>
    <w:rsid w:val="00B46256"/>
    <w:rsid w:val="00B501E5"/>
    <w:rsid w:val="00B5062C"/>
    <w:rsid w:val="00B50773"/>
    <w:rsid w:val="00B52904"/>
    <w:rsid w:val="00B53709"/>
    <w:rsid w:val="00B54017"/>
    <w:rsid w:val="00B55027"/>
    <w:rsid w:val="00B55D65"/>
    <w:rsid w:val="00B57469"/>
    <w:rsid w:val="00B61F2A"/>
    <w:rsid w:val="00B62990"/>
    <w:rsid w:val="00B63F83"/>
    <w:rsid w:val="00B64C5E"/>
    <w:rsid w:val="00B65015"/>
    <w:rsid w:val="00B6529A"/>
    <w:rsid w:val="00B707CF"/>
    <w:rsid w:val="00B70F85"/>
    <w:rsid w:val="00B71020"/>
    <w:rsid w:val="00B7227B"/>
    <w:rsid w:val="00B72E52"/>
    <w:rsid w:val="00B72F03"/>
    <w:rsid w:val="00B7598A"/>
    <w:rsid w:val="00B77DE7"/>
    <w:rsid w:val="00B8120A"/>
    <w:rsid w:val="00B826CD"/>
    <w:rsid w:val="00B83B68"/>
    <w:rsid w:val="00B83E33"/>
    <w:rsid w:val="00B867F5"/>
    <w:rsid w:val="00B90D86"/>
    <w:rsid w:val="00B9260A"/>
    <w:rsid w:val="00B93220"/>
    <w:rsid w:val="00B944D9"/>
    <w:rsid w:val="00B9455B"/>
    <w:rsid w:val="00B9616A"/>
    <w:rsid w:val="00B9688A"/>
    <w:rsid w:val="00B96C0D"/>
    <w:rsid w:val="00BA04EF"/>
    <w:rsid w:val="00BA0DBF"/>
    <w:rsid w:val="00BA1513"/>
    <w:rsid w:val="00BA28C1"/>
    <w:rsid w:val="00BA2A70"/>
    <w:rsid w:val="00BA2D49"/>
    <w:rsid w:val="00BA2F10"/>
    <w:rsid w:val="00BA40B0"/>
    <w:rsid w:val="00BA49AC"/>
    <w:rsid w:val="00BA5499"/>
    <w:rsid w:val="00BA5945"/>
    <w:rsid w:val="00BA6236"/>
    <w:rsid w:val="00BA6348"/>
    <w:rsid w:val="00BA68F3"/>
    <w:rsid w:val="00BA7F56"/>
    <w:rsid w:val="00BB032B"/>
    <w:rsid w:val="00BB4851"/>
    <w:rsid w:val="00BB4C7F"/>
    <w:rsid w:val="00BB6773"/>
    <w:rsid w:val="00BB6857"/>
    <w:rsid w:val="00BC18D3"/>
    <w:rsid w:val="00BC2BF8"/>
    <w:rsid w:val="00BC33E7"/>
    <w:rsid w:val="00BC35CB"/>
    <w:rsid w:val="00BC519E"/>
    <w:rsid w:val="00BC5310"/>
    <w:rsid w:val="00BC7081"/>
    <w:rsid w:val="00BD0904"/>
    <w:rsid w:val="00BD16CC"/>
    <w:rsid w:val="00BD1D4F"/>
    <w:rsid w:val="00BD47F6"/>
    <w:rsid w:val="00BD4CF3"/>
    <w:rsid w:val="00BD4F3E"/>
    <w:rsid w:val="00BD50A8"/>
    <w:rsid w:val="00BD5531"/>
    <w:rsid w:val="00BD6191"/>
    <w:rsid w:val="00BD7459"/>
    <w:rsid w:val="00BE0ABD"/>
    <w:rsid w:val="00BE2D8D"/>
    <w:rsid w:val="00BE31F3"/>
    <w:rsid w:val="00BE3941"/>
    <w:rsid w:val="00BE45AB"/>
    <w:rsid w:val="00BE51CC"/>
    <w:rsid w:val="00BE57D6"/>
    <w:rsid w:val="00BE7AFF"/>
    <w:rsid w:val="00BF0ECD"/>
    <w:rsid w:val="00BF1199"/>
    <w:rsid w:val="00BF1B39"/>
    <w:rsid w:val="00BF3432"/>
    <w:rsid w:val="00BF4A50"/>
    <w:rsid w:val="00BF5DEA"/>
    <w:rsid w:val="00BF772B"/>
    <w:rsid w:val="00BF786C"/>
    <w:rsid w:val="00C0140E"/>
    <w:rsid w:val="00C01C90"/>
    <w:rsid w:val="00C029C8"/>
    <w:rsid w:val="00C03482"/>
    <w:rsid w:val="00C03852"/>
    <w:rsid w:val="00C0746C"/>
    <w:rsid w:val="00C117E8"/>
    <w:rsid w:val="00C13E18"/>
    <w:rsid w:val="00C1408E"/>
    <w:rsid w:val="00C15A35"/>
    <w:rsid w:val="00C16263"/>
    <w:rsid w:val="00C16911"/>
    <w:rsid w:val="00C17552"/>
    <w:rsid w:val="00C1762C"/>
    <w:rsid w:val="00C17AE0"/>
    <w:rsid w:val="00C17F38"/>
    <w:rsid w:val="00C20A78"/>
    <w:rsid w:val="00C210EC"/>
    <w:rsid w:val="00C23515"/>
    <w:rsid w:val="00C27323"/>
    <w:rsid w:val="00C27C74"/>
    <w:rsid w:val="00C27F4F"/>
    <w:rsid w:val="00C33F74"/>
    <w:rsid w:val="00C33FAE"/>
    <w:rsid w:val="00C341E0"/>
    <w:rsid w:val="00C365C4"/>
    <w:rsid w:val="00C366B2"/>
    <w:rsid w:val="00C36B7F"/>
    <w:rsid w:val="00C37E36"/>
    <w:rsid w:val="00C411AD"/>
    <w:rsid w:val="00C41E7D"/>
    <w:rsid w:val="00C46760"/>
    <w:rsid w:val="00C46E1A"/>
    <w:rsid w:val="00C47294"/>
    <w:rsid w:val="00C50B44"/>
    <w:rsid w:val="00C51F15"/>
    <w:rsid w:val="00C54BF3"/>
    <w:rsid w:val="00C61475"/>
    <w:rsid w:val="00C6323B"/>
    <w:rsid w:val="00C6343F"/>
    <w:rsid w:val="00C63AAD"/>
    <w:rsid w:val="00C63ADB"/>
    <w:rsid w:val="00C65952"/>
    <w:rsid w:val="00C66EA9"/>
    <w:rsid w:val="00C671D5"/>
    <w:rsid w:val="00C7159F"/>
    <w:rsid w:val="00C72B25"/>
    <w:rsid w:val="00C73770"/>
    <w:rsid w:val="00C74635"/>
    <w:rsid w:val="00C74FE5"/>
    <w:rsid w:val="00C75B01"/>
    <w:rsid w:val="00C807D5"/>
    <w:rsid w:val="00C80B46"/>
    <w:rsid w:val="00C81D60"/>
    <w:rsid w:val="00C83D3A"/>
    <w:rsid w:val="00C86003"/>
    <w:rsid w:val="00C864B6"/>
    <w:rsid w:val="00C93403"/>
    <w:rsid w:val="00C9340F"/>
    <w:rsid w:val="00C93BD0"/>
    <w:rsid w:val="00C956C4"/>
    <w:rsid w:val="00C9697B"/>
    <w:rsid w:val="00C96ACE"/>
    <w:rsid w:val="00C96C59"/>
    <w:rsid w:val="00C97AB5"/>
    <w:rsid w:val="00CA4AE2"/>
    <w:rsid w:val="00CA70AA"/>
    <w:rsid w:val="00CB09E5"/>
    <w:rsid w:val="00CB12B9"/>
    <w:rsid w:val="00CB34E2"/>
    <w:rsid w:val="00CB3AB9"/>
    <w:rsid w:val="00CB4EC2"/>
    <w:rsid w:val="00CB4FE5"/>
    <w:rsid w:val="00CB5FB1"/>
    <w:rsid w:val="00CC015E"/>
    <w:rsid w:val="00CC01D7"/>
    <w:rsid w:val="00CC3215"/>
    <w:rsid w:val="00CC3A35"/>
    <w:rsid w:val="00CC4DA1"/>
    <w:rsid w:val="00CD024E"/>
    <w:rsid w:val="00CD1E4A"/>
    <w:rsid w:val="00CD29B3"/>
    <w:rsid w:val="00CD32CC"/>
    <w:rsid w:val="00CD3F98"/>
    <w:rsid w:val="00CD41EF"/>
    <w:rsid w:val="00CD4DE3"/>
    <w:rsid w:val="00CD795C"/>
    <w:rsid w:val="00CE0690"/>
    <w:rsid w:val="00CE1CC6"/>
    <w:rsid w:val="00CE29CF"/>
    <w:rsid w:val="00CE48C4"/>
    <w:rsid w:val="00CE6113"/>
    <w:rsid w:val="00CE6565"/>
    <w:rsid w:val="00CF1A2F"/>
    <w:rsid w:val="00CF2275"/>
    <w:rsid w:val="00CF24B7"/>
    <w:rsid w:val="00CF2789"/>
    <w:rsid w:val="00CF4110"/>
    <w:rsid w:val="00CF44B4"/>
    <w:rsid w:val="00CF4874"/>
    <w:rsid w:val="00CF4AED"/>
    <w:rsid w:val="00CF4C3E"/>
    <w:rsid w:val="00CF57F5"/>
    <w:rsid w:val="00CF633B"/>
    <w:rsid w:val="00CF731D"/>
    <w:rsid w:val="00D0031E"/>
    <w:rsid w:val="00D003C7"/>
    <w:rsid w:val="00D0054F"/>
    <w:rsid w:val="00D00881"/>
    <w:rsid w:val="00D01B6A"/>
    <w:rsid w:val="00D03BFB"/>
    <w:rsid w:val="00D06119"/>
    <w:rsid w:val="00D074E3"/>
    <w:rsid w:val="00D10549"/>
    <w:rsid w:val="00D14195"/>
    <w:rsid w:val="00D154E7"/>
    <w:rsid w:val="00D1561A"/>
    <w:rsid w:val="00D16E1B"/>
    <w:rsid w:val="00D17CAE"/>
    <w:rsid w:val="00D2117C"/>
    <w:rsid w:val="00D22DBD"/>
    <w:rsid w:val="00D23419"/>
    <w:rsid w:val="00D23C00"/>
    <w:rsid w:val="00D25546"/>
    <w:rsid w:val="00D26521"/>
    <w:rsid w:val="00D26E14"/>
    <w:rsid w:val="00D27204"/>
    <w:rsid w:val="00D275A5"/>
    <w:rsid w:val="00D33754"/>
    <w:rsid w:val="00D33756"/>
    <w:rsid w:val="00D34EDB"/>
    <w:rsid w:val="00D35B8E"/>
    <w:rsid w:val="00D37A3A"/>
    <w:rsid w:val="00D405EC"/>
    <w:rsid w:val="00D40750"/>
    <w:rsid w:val="00D41931"/>
    <w:rsid w:val="00D42096"/>
    <w:rsid w:val="00D420C3"/>
    <w:rsid w:val="00D437B5"/>
    <w:rsid w:val="00D45783"/>
    <w:rsid w:val="00D463BA"/>
    <w:rsid w:val="00D46448"/>
    <w:rsid w:val="00D4771E"/>
    <w:rsid w:val="00D4794A"/>
    <w:rsid w:val="00D47AAA"/>
    <w:rsid w:val="00D50749"/>
    <w:rsid w:val="00D52818"/>
    <w:rsid w:val="00D52B8F"/>
    <w:rsid w:val="00D53337"/>
    <w:rsid w:val="00D5435B"/>
    <w:rsid w:val="00D56480"/>
    <w:rsid w:val="00D61169"/>
    <w:rsid w:val="00D61460"/>
    <w:rsid w:val="00D61464"/>
    <w:rsid w:val="00D61CDA"/>
    <w:rsid w:val="00D63A41"/>
    <w:rsid w:val="00D6519F"/>
    <w:rsid w:val="00D65BDA"/>
    <w:rsid w:val="00D65EB9"/>
    <w:rsid w:val="00D66304"/>
    <w:rsid w:val="00D665A3"/>
    <w:rsid w:val="00D67361"/>
    <w:rsid w:val="00D67D6F"/>
    <w:rsid w:val="00D70974"/>
    <w:rsid w:val="00D71E41"/>
    <w:rsid w:val="00D72CCD"/>
    <w:rsid w:val="00D73C2F"/>
    <w:rsid w:val="00D759B7"/>
    <w:rsid w:val="00D7763A"/>
    <w:rsid w:val="00D802DB"/>
    <w:rsid w:val="00D81303"/>
    <w:rsid w:val="00D82212"/>
    <w:rsid w:val="00D833DB"/>
    <w:rsid w:val="00D839F7"/>
    <w:rsid w:val="00D83BC3"/>
    <w:rsid w:val="00D8693A"/>
    <w:rsid w:val="00D86959"/>
    <w:rsid w:val="00D86C88"/>
    <w:rsid w:val="00D86FBD"/>
    <w:rsid w:val="00D90B55"/>
    <w:rsid w:val="00D92577"/>
    <w:rsid w:val="00D92E07"/>
    <w:rsid w:val="00D964E2"/>
    <w:rsid w:val="00D96ABB"/>
    <w:rsid w:val="00D971CC"/>
    <w:rsid w:val="00D971F8"/>
    <w:rsid w:val="00DA038E"/>
    <w:rsid w:val="00DA043F"/>
    <w:rsid w:val="00DA1B95"/>
    <w:rsid w:val="00DA2667"/>
    <w:rsid w:val="00DA2948"/>
    <w:rsid w:val="00DA3E58"/>
    <w:rsid w:val="00DA42DB"/>
    <w:rsid w:val="00DA435B"/>
    <w:rsid w:val="00DA5BAB"/>
    <w:rsid w:val="00DA6020"/>
    <w:rsid w:val="00DA6420"/>
    <w:rsid w:val="00DB23A1"/>
    <w:rsid w:val="00DB261C"/>
    <w:rsid w:val="00DB4314"/>
    <w:rsid w:val="00DB7257"/>
    <w:rsid w:val="00DC1150"/>
    <w:rsid w:val="00DC2752"/>
    <w:rsid w:val="00DC2AFA"/>
    <w:rsid w:val="00DC3353"/>
    <w:rsid w:val="00DC3613"/>
    <w:rsid w:val="00DC3DCE"/>
    <w:rsid w:val="00DC64AB"/>
    <w:rsid w:val="00DC6622"/>
    <w:rsid w:val="00DC7396"/>
    <w:rsid w:val="00DD1F46"/>
    <w:rsid w:val="00DD3F8F"/>
    <w:rsid w:val="00DD51D5"/>
    <w:rsid w:val="00DD5EA2"/>
    <w:rsid w:val="00DD7198"/>
    <w:rsid w:val="00DD7E47"/>
    <w:rsid w:val="00DE0AAE"/>
    <w:rsid w:val="00DE0ACE"/>
    <w:rsid w:val="00DE0FE5"/>
    <w:rsid w:val="00DE3E6D"/>
    <w:rsid w:val="00DE6A96"/>
    <w:rsid w:val="00DE78D6"/>
    <w:rsid w:val="00DF0D8B"/>
    <w:rsid w:val="00DF1609"/>
    <w:rsid w:val="00DF1F9C"/>
    <w:rsid w:val="00DF67EF"/>
    <w:rsid w:val="00DF7122"/>
    <w:rsid w:val="00DF76CA"/>
    <w:rsid w:val="00E00EEE"/>
    <w:rsid w:val="00E01C78"/>
    <w:rsid w:val="00E03168"/>
    <w:rsid w:val="00E031B2"/>
    <w:rsid w:val="00E0457E"/>
    <w:rsid w:val="00E063CD"/>
    <w:rsid w:val="00E074D9"/>
    <w:rsid w:val="00E07514"/>
    <w:rsid w:val="00E101EF"/>
    <w:rsid w:val="00E107E1"/>
    <w:rsid w:val="00E10F7F"/>
    <w:rsid w:val="00E132B7"/>
    <w:rsid w:val="00E136A7"/>
    <w:rsid w:val="00E13AF1"/>
    <w:rsid w:val="00E13E14"/>
    <w:rsid w:val="00E17078"/>
    <w:rsid w:val="00E20704"/>
    <w:rsid w:val="00E23316"/>
    <w:rsid w:val="00E234B3"/>
    <w:rsid w:val="00E30DFF"/>
    <w:rsid w:val="00E32D1B"/>
    <w:rsid w:val="00E33370"/>
    <w:rsid w:val="00E33E51"/>
    <w:rsid w:val="00E34AEA"/>
    <w:rsid w:val="00E35C34"/>
    <w:rsid w:val="00E40DC9"/>
    <w:rsid w:val="00E40FDC"/>
    <w:rsid w:val="00E41F67"/>
    <w:rsid w:val="00E42845"/>
    <w:rsid w:val="00E44CA1"/>
    <w:rsid w:val="00E47E46"/>
    <w:rsid w:val="00E500D5"/>
    <w:rsid w:val="00E503F3"/>
    <w:rsid w:val="00E51DC4"/>
    <w:rsid w:val="00E5410B"/>
    <w:rsid w:val="00E55CED"/>
    <w:rsid w:val="00E56A3E"/>
    <w:rsid w:val="00E56BC7"/>
    <w:rsid w:val="00E56C46"/>
    <w:rsid w:val="00E56CB0"/>
    <w:rsid w:val="00E6085C"/>
    <w:rsid w:val="00E60B97"/>
    <w:rsid w:val="00E62183"/>
    <w:rsid w:val="00E62499"/>
    <w:rsid w:val="00E65C3D"/>
    <w:rsid w:val="00E671D6"/>
    <w:rsid w:val="00E701DB"/>
    <w:rsid w:val="00E70232"/>
    <w:rsid w:val="00E71ADF"/>
    <w:rsid w:val="00E72033"/>
    <w:rsid w:val="00E72147"/>
    <w:rsid w:val="00E724F5"/>
    <w:rsid w:val="00E72589"/>
    <w:rsid w:val="00E7287E"/>
    <w:rsid w:val="00E7443B"/>
    <w:rsid w:val="00E75144"/>
    <w:rsid w:val="00E77F8D"/>
    <w:rsid w:val="00E810E8"/>
    <w:rsid w:val="00E81138"/>
    <w:rsid w:val="00E821DB"/>
    <w:rsid w:val="00E82454"/>
    <w:rsid w:val="00E839A2"/>
    <w:rsid w:val="00E83ED2"/>
    <w:rsid w:val="00E856D3"/>
    <w:rsid w:val="00E8585F"/>
    <w:rsid w:val="00E85ED7"/>
    <w:rsid w:val="00E879F9"/>
    <w:rsid w:val="00E903FB"/>
    <w:rsid w:val="00E911D3"/>
    <w:rsid w:val="00E9151B"/>
    <w:rsid w:val="00E94637"/>
    <w:rsid w:val="00E94F21"/>
    <w:rsid w:val="00E956F9"/>
    <w:rsid w:val="00E96832"/>
    <w:rsid w:val="00EA03D3"/>
    <w:rsid w:val="00EA0794"/>
    <w:rsid w:val="00EA2930"/>
    <w:rsid w:val="00EA54C9"/>
    <w:rsid w:val="00EA6D33"/>
    <w:rsid w:val="00EA73BB"/>
    <w:rsid w:val="00EB0885"/>
    <w:rsid w:val="00EB0B13"/>
    <w:rsid w:val="00EB1DAC"/>
    <w:rsid w:val="00EB251E"/>
    <w:rsid w:val="00EB331B"/>
    <w:rsid w:val="00EB4D60"/>
    <w:rsid w:val="00EB7554"/>
    <w:rsid w:val="00EC005D"/>
    <w:rsid w:val="00EC43F7"/>
    <w:rsid w:val="00EC45AF"/>
    <w:rsid w:val="00EC4681"/>
    <w:rsid w:val="00EC63AF"/>
    <w:rsid w:val="00EC66D1"/>
    <w:rsid w:val="00EC6FEC"/>
    <w:rsid w:val="00EC7AD5"/>
    <w:rsid w:val="00ED30A5"/>
    <w:rsid w:val="00ED38FD"/>
    <w:rsid w:val="00ED5714"/>
    <w:rsid w:val="00ED6048"/>
    <w:rsid w:val="00ED6479"/>
    <w:rsid w:val="00EE1BCC"/>
    <w:rsid w:val="00EE3E33"/>
    <w:rsid w:val="00EF2A86"/>
    <w:rsid w:val="00EF3F81"/>
    <w:rsid w:val="00EF45DF"/>
    <w:rsid w:val="00EF57A2"/>
    <w:rsid w:val="00EF5DAA"/>
    <w:rsid w:val="00F045BC"/>
    <w:rsid w:val="00F05F2A"/>
    <w:rsid w:val="00F05FB9"/>
    <w:rsid w:val="00F11811"/>
    <w:rsid w:val="00F1282B"/>
    <w:rsid w:val="00F1604B"/>
    <w:rsid w:val="00F16D72"/>
    <w:rsid w:val="00F21755"/>
    <w:rsid w:val="00F2297E"/>
    <w:rsid w:val="00F22AA9"/>
    <w:rsid w:val="00F23297"/>
    <w:rsid w:val="00F25A13"/>
    <w:rsid w:val="00F25A68"/>
    <w:rsid w:val="00F25BD0"/>
    <w:rsid w:val="00F271EE"/>
    <w:rsid w:val="00F27A54"/>
    <w:rsid w:val="00F31DC9"/>
    <w:rsid w:val="00F32C6E"/>
    <w:rsid w:val="00F3460D"/>
    <w:rsid w:val="00F35688"/>
    <w:rsid w:val="00F36B0A"/>
    <w:rsid w:val="00F401F0"/>
    <w:rsid w:val="00F43202"/>
    <w:rsid w:val="00F440F0"/>
    <w:rsid w:val="00F460AF"/>
    <w:rsid w:val="00F46B84"/>
    <w:rsid w:val="00F477D9"/>
    <w:rsid w:val="00F51288"/>
    <w:rsid w:val="00F52EE5"/>
    <w:rsid w:val="00F53525"/>
    <w:rsid w:val="00F53C86"/>
    <w:rsid w:val="00F55A5C"/>
    <w:rsid w:val="00F61842"/>
    <w:rsid w:val="00F62644"/>
    <w:rsid w:val="00F6298C"/>
    <w:rsid w:val="00F63EB3"/>
    <w:rsid w:val="00F665CF"/>
    <w:rsid w:val="00F72687"/>
    <w:rsid w:val="00F72E94"/>
    <w:rsid w:val="00F733FE"/>
    <w:rsid w:val="00F73931"/>
    <w:rsid w:val="00F75926"/>
    <w:rsid w:val="00F76900"/>
    <w:rsid w:val="00F7695C"/>
    <w:rsid w:val="00F803BB"/>
    <w:rsid w:val="00F80E10"/>
    <w:rsid w:val="00F814B4"/>
    <w:rsid w:val="00F81D00"/>
    <w:rsid w:val="00F82C1D"/>
    <w:rsid w:val="00F901F0"/>
    <w:rsid w:val="00F904FD"/>
    <w:rsid w:val="00F92A0A"/>
    <w:rsid w:val="00F92EB9"/>
    <w:rsid w:val="00F93510"/>
    <w:rsid w:val="00F935AB"/>
    <w:rsid w:val="00F944A8"/>
    <w:rsid w:val="00FA27BE"/>
    <w:rsid w:val="00FA347E"/>
    <w:rsid w:val="00FA3AF9"/>
    <w:rsid w:val="00FA4285"/>
    <w:rsid w:val="00FA485A"/>
    <w:rsid w:val="00FA5821"/>
    <w:rsid w:val="00FA6333"/>
    <w:rsid w:val="00FA65FC"/>
    <w:rsid w:val="00FA7756"/>
    <w:rsid w:val="00FA7CD9"/>
    <w:rsid w:val="00FB1152"/>
    <w:rsid w:val="00FB3CBC"/>
    <w:rsid w:val="00FB42B2"/>
    <w:rsid w:val="00FB661B"/>
    <w:rsid w:val="00FC1ADF"/>
    <w:rsid w:val="00FC25F3"/>
    <w:rsid w:val="00FC321B"/>
    <w:rsid w:val="00FC491F"/>
    <w:rsid w:val="00FC685C"/>
    <w:rsid w:val="00FC7354"/>
    <w:rsid w:val="00FD2073"/>
    <w:rsid w:val="00FD209F"/>
    <w:rsid w:val="00FD24CE"/>
    <w:rsid w:val="00FD2E45"/>
    <w:rsid w:val="00FD2E8B"/>
    <w:rsid w:val="00FD3554"/>
    <w:rsid w:val="00FD5283"/>
    <w:rsid w:val="00FD61E0"/>
    <w:rsid w:val="00FE00E7"/>
    <w:rsid w:val="00FE0638"/>
    <w:rsid w:val="00FE138C"/>
    <w:rsid w:val="00FE14A4"/>
    <w:rsid w:val="00FE319C"/>
    <w:rsid w:val="00FE423B"/>
    <w:rsid w:val="00FE4CEB"/>
    <w:rsid w:val="00FE5B5D"/>
    <w:rsid w:val="00FE65A8"/>
    <w:rsid w:val="00FE6905"/>
    <w:rsid w:val="00FF0ABB"/>
    <w:rsid w:val="00FF0FE0"/>
    <w:rsid w:val="00FF3553"/>
    <w:rsid w:val="00FF38E5"/>
    <w:rsid w:val="00FF459E"/>
    <w:rsid w:val="00FF55EC"/>
    <w:rsid w:val="00FF5E27"/>
    <w:rsid w:val="00FF6AB5"/>
    <w:rsid w:val="00FF70D5"/>
    <w:rsid w:val="29AC0E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qFormat="1" w:uiPriority="39" w:semiHidden="0" w:name="toc 5"/>
    <w:lsdException w:uiPriority="39" w:name="toc 6"/>
    <w:lsdException w:qFormat="1" w:unhideWhenUsed="0" w:uiPriority="99" w:semiHidden="0"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31"/>
    <w:qFormat/>
    <w:uiPriority w:val="9"/>
    <w:pPr>
      <w:keepNext/>
      <w:widowControl/>
      <w:ind w:firstLine="0" w:firstLineChars="0"/>
      <w:jc w:val="left"/>
      <w:outlineLvl w:val="0"/>
    </w:pPr>
    <w:rPr>
      <w:rFonts w:cs="宋体" w:asciiTheme="majorHAnsi" w:hAnsiTheme="majorHAnsi"/>
      <w:b/>
      <w:bCs/>
      <w:kern w:val="32"/>
      <w:szCs w:val="32"/>
    </w:rPr>
  </w:style>
  <w:style w:type="paragraph" w:styleId="3">
    <w:name w:val="heading 2"/>
    <w:basedOn w:val="1"/>
    <w:next w:val="1"/>
    <w:link w:val="3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55"/>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7"/>
    <w:qFormat/>
    <w:uiPriority w:val="0"/>
    <w:pPr>
      <w:spacing w:before="100" w:beforeAutospacing="1" w:after="100" w:afterAutospacing="1" w:line="240" w:lineRule="auto"/>
      <w:ind w:firstLine="0" w:firstLineChars="0"/>
      <w:jc w:val="left"/>
      <w:outlineLvl w:val="4"/>
    </w:pPr>
    <w:rPr>
      <w:rFonts w:hint="eastAsia" w:ascii="宋体" w:hAnsi="宋体" w:eastAsia="宋体" w:cs="Times New Roman"/>
      <w:b/>
      <w:bCs/>
      <w:kern w:val="0"/>
      <w:sz w:val="20"/>
      <w:szCs w:val="20"/>
    </w:rPr>
  </w:style>
  <w:style w:type="character" w:default="1" w:styleId="27">
    <w:name w:val="Default Paragraph Font"/>
    <w:semiHidden/>
    <w:unhideWhenUsed/>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99"/>
    <w:pPr>
      <w:spacing w:line="240" w:lineRule="auto"/>
      <w:ind w:left="1260" w:firstLine="0" w:firstLineChars="0"/>
      <w:jc w:val="left"/>
    </w:pPr>
    <w:rPr>
      <w:rFonts w:ascii="Calibri" w:hAnsi="Calibri" w:eastAsia="宋体" w:cs="Times New Roman"/>
      <w:sz w:val="18"/>
      <w:szCs w:val="18"/>
    </w:rPr>
  </w:style>
  <w:style w:type="paragraph" w:styleId="8">
    <w:name w:val="Body Text"/>
    <w:basedOn w:val="1"/>
    <w:next w:val="9"/>
    <w:link w:val="38"/>
    <w:qFormat/>
    <w:uiPriority w:val="0"/>
    <w:pPr>
      <w:spacing w:after="120" w:line="240" w:lineRule="auto"/>
    </w:pPr>
    <w:rPr>
      <w:rFonts w:ascii="Calibri" w:hAnsi="Calibri" w:eastAsia="宋体" w:cs="Times New Roman"/>
      <w:sz w:val="21"/>
      <w:szCs w:val="24"/>
    </w:rPr>
  </w:style>
  <w:style w:type="paragraph" w:styleId="9">
    <w:name w:val="toc 5"/>
    <w:basedOn w:val="1"/>
    <w:next w:val="1"/>
    <w:autoRedefine/>
    <w:unhideWhenUsed/>
    <w:qFormat/>
    <w:uiPriority w:val="39"/>
    <w:pPr>
      <w:ind w:firstLine="482"/>
    </w:pPr>
    <w:rPr>
      <w:b/>
      <w:bCs/>
      <w:color w:val="4472C4" w:themeColor="accent1"/>
      <w14:textFill>
        <w14:solidFill>
          <w14:schemeClr w14:val="accent1"/>
        </w14:solidFill>
      </w14:textFill>
    </w:rPr>
  </w:style>
  <w:style w:type="paragraph" w:styleId="10">
    <w:name w:val="Body Text Indent"/>
    <w:basedOn w:val="1"/>
    <w:next w:val="11"/>
    <w:link w:val="58"/>
    <w:qFormat/>
    <w:uiPriority w:val="99"/>
    <w:pPr>
      <w:spacing w:line="240" w:lineRule="auto"/>
      <w:ind w:left="420" w:leftChars="200" w:firstLine="0" w:firstLineChars="0"/>
    </w:pPr>
    <w:rPr>
      <w:rFonts w:ascii="Calibri" w:hAnsi="Calibri" w:eastAsia="宋体" w:cs="Times New Roman"/>
      <w:sz w:val="21"/>
      <w:szCs w:val="24"/>
    </w:rPr>
  </w:style>
  <w:style w:type="paragraph" w:styleId="11">
    <w:name w:val="envelope return"/>
    <w:basedOn w:val="1"/>
    <w:next w:val="7"/>
    <w:qFormat/>
    <w:uiPriority w:val="99"/>
    <w:pPr>
      <w:snapToGrid w:val="0"/>
      <w:spacing w:line="240" w:lineRule="auto"/>
      <w:ind w:firstLine="0" w:firstLineChars="0"/>
    </w:pPr>
    <w:rPr>
      <w:rFonts w:ascii="Arial" w:hAnsi="Arial" w:eastAsia="宋体" w:cs="Times New Roman"/>
      <w:sz w:val="21"/>
      <w:szCs w:val="24"/>
    </w:rPr>
  </w:style>
  <w:style w:type="paragraph" w:styleId="12">
    <w:name w:val="toc 3"/>
    <w:basedOn w:val="1"/>
    <w:next w:val="1"/>
    <w:autoRedefine/>
    <w:unhideWhenUsed/>
    <w:uiPriority w:val="39"/>
    <w:pPr>
      <w:widowControl/>
      <w:spacing w:after="100" w:line="259" w:lineRule="auto"/>
      <w:ind w:left="440" w:firstLine="0" w:firstLineChars="0"/>
      <w:jc w:val="left"/>
    </w:pPr>
    <w:rPr>
      <w:rFonts w:cs="Times New Roman" w:eastAsiaTheme="minorEastAsia"/>
      <w:kern w:val="0"/>
      <w:sz w:val="22"/>
    </w:rPr>
  </w:style>
  <w:style w:type="paragraph" w:styleId="13">
    <w:name w:val="Date"/>
    <w:basedOn w:val="1"/>
    <w:next w:val="1"/>
    <w:link w:val="45"/>
    <w:semiHidden/>
    <w:unhideWhenUsed/>
    <w:uiPriority w:val="99"/>
    <w:pPr>
      <w:ind w:left="100" w:leftChars="2500"/>
    </w:pPr>
  </w:style>
  <w:style w:type="paragraph" w:styleId="14">
    <w:name w:val="Body Text Indent 2"/>
    <w:basedOn w:val="1"/>
    <w:link w:val="53"/>
    <w:unhideWhenUsed/>
    <w:qFormat/>
    <w:uiPriority w:val="99"/>
    <w:pPr>
      <w:spacing w:after="120" w:line="480" w:lineRule="auto"/>
      <w:ind w:left="420" w:leftChars="200"/>
    </w:pPr>
  </w:style>
  <w:style w:type="paragraph" w:styleId="15">
    <w:name w:val="footer"/>
    <w:basedOn w:val="1"/>
    <w:link w:val="35"/>
    <w:unhideWhenUsed/>
    <w:uiPriority w:val="0"/>
    <w:pPr>
      <w:tabs>
        <w:tab w:val="center" w:pos="4153"/>
        <w:tab w:val="right" w:pos="8306"/>
      </w:tabs>
      <w:snapToGrid w:val="0"/>
      <w:jc w:val="left"/>
    </w:pPr>
    <w:rPr>
      <w:sz w:val="18"/>
      <w:szCs w:val="18"/>
    </w:rPr>
  </w:style>
  <w:style w:type="paragraph" w:styleId="16">
    <w:name w:val="header"/>
    <w:basedOn w:val="1"/>
    <w:link w:val="34"/>
    <w:unhideWhenUsed/>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autoRedefine/>
    <w:unhideWhenUsed/>
    <w:uiPriority w:val="39"/>
    <w:pPr>
      <w:widowControl/>
      <w:spacing w:after="100" w:line="259" w:lineRule="auto"/>
      <w:ind w:firstLine="0" w:firstLineChars="0"/>
      <w:jc w:val="left"/>
    </w:pPr>
    <w:rPr>
      <w:rFonts w:cs="Times New Roman" w:eastAsiaTheme="minorEastAsia"/>
      <w:kern w:val="0"/>
      <w:sz w:val="22"/>
    </w:rPr>
  </w:style>
  <w:style w:type="paragraph" w:styleId="18">
    <w:name w:val="Subtitle"/>
    <w:basedOn w:val="3"/>
    <w:next w:val="1"/>
    <w:link w:val="59"/>
    <w:qFormat/>
    <w:uiPriority w:val="11"/>
    <w:pPr>
      <w:keepNext w:val="0"/>
      <w:keepLines w:val="0"/>
      <w:numPr>
        <w:ilvl w:val="1"/>
        <w:numId w:val="1"/>
      </w:numPr>
      <w:spacing w:before="100" w:beforeLines="100" w:beforeAutospacing="1" w:after="100" w:afterLines="100" w:afterAutospacing="1" w:line="240" w:lineRule="auto"/>
      <w:ind w:firstLine="0" w:firstLineChars="0"/>
      <w:jc w:val="left"/>
    </w:pPr>
    <w:rPr>
      <w:rFonts w:hint="eastAsia" w:ascii="宋体" w:hAnsi="宋体" w:eastAsia="方正仿宋_GB2312" w:cs="Times New Roman"/>
      <w:kern w:val="0"/>
      <w:sz w:val="30"/>
      <w:szCs w:val="36"/>
    </w:rPr>
  </w:style>
  <w:style w:type="paragraph" w:styleId="19">
    <w:name w:val="toc 2"/>
    <w:basedOn w:val="1"/>
    <w:next w:val="1"/>
    <w:autoRedefine/>
    <w:unhideWhenUsed/>
    <w:uiPriority w:val="39"/>
    <w:pPr>
      <w:widowControl/>
      <w:spacing w:after="100" w:line="259" w:lineRule="auto"/>
      <w:ind w:left="220" w:firstLine="0" w:firstLineChars="0"/>
      <w:jc w:val="left"/>
    </w:pPr>
    <w:rPr>
      <w:rFonts w:cs="Times New Roman" w:eastAsiaTheme="minorEastAsia"/>
      <w:kern w:val="0"/>
      <w:sz w:val="22"/>
    </w:rPr>
  </w:style>
  <w:style w:type="paragraph" w:styleId="20">
    <w:name w:val="HTML Preformatted"/>
    <w:basedOn w:val="1"/>
    <w:link w:val="60"/>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hint="eastAsia" w:ascii="宋体" w:hAnsi="宋体" w:eastAsia="宋体" w:cs="Times New Roman"/>
      <w:kern w:val="0"/>
      <w:szCs w:val="24"/>
    </w:rPr>
  </w:style>
  <w:style w:type="paragraph" w:styleId="21">
    <w:name w:val="Normal (Web)"/>
    <w:basedOn w:val="1"/>
    <w:unhideWhenUsed/>
    <w:uiPriority w:val="0"/>
    <w:pPr>
      <w:widowControl/>
      <w:spacing w:before="100" w:beforeAutospacing="1" w:after="100" w:afterAutospacing="1" w:line="240" w:lineRule="auto"/>
      <w:jc w:val="left"/>
    </w:pPr>
    <w:rPr>
      <w:rFonts w:ascii="宋体" w:hAnsi="宋体" w:eastAsia="宋体" w:cs="宋体"/>
      <w:kern w:val="0"/>
      <w:szCs w:val="24"/>
    </w:rPr>
  </w:style>
  <w:style w:type="paragraph" w:styleId="22">
    <w:name w:val="Title"/>
    <w:basedOn w:val="2"/>
    <w:next w:val="1"/>
    <w:link w:val="61"/>
    <w:qFormat/>
    <w:uiPriority w:val="10"/>
    <w:pPr>
      <w:keepNext w:val="0"/>
      <w:widowControl w:val="0"/>
      <w:numPr>
        <w:ilvl w:val="0"/>
        <w:numId w:val="1"/>
      </w:numPr>
      <w:spacing w:before="312" w:beforeAutospacing="1" w:after="312" w:afterAutospacing="1" w:line="240" w:lineRule="auto"/>
    </w:pPr>
    <w:rPr>
      <w:rFonts w:hint="eastAsia" w:ascii="宋体" w:hAnsi="宋体" w:eastAsia="黑体" w:cs="Times New Roman"/>
      <w:b w:val="0"/>
      <w:kern w:val="44"/>
      <w:sz w:val="36"/>
      <w:szCs w:val="48"/>
    </w:rPr>
  </w:style>
  <w:style w:type="paragraph" w:styleId="23">
    <w:name w:val="Body Text First Indent"/>
    <w:basedOn w:val="8"/>
    <w:link w:val="62"/>
    <w:qFormat/>
    <w:uiPriority w:val="0"/>
    <w:pPr>
      <w:ind w:firstLine="420" w:firstLineChars="100"/>
    </w:pPr>
  </w:style>
  <w:style w:type="paragraph" w:styleId="24">
    <w:name w:val="Body Text First Indent 2"/>
    <w:basedOn w:val="10"/>
    <w:next w:val="1"/>
    <w:link w:val="63"/>
    <w:qFormat/>
    <w:uiPriority w:val="99"/>
    <w:pPr>
      <w:spacing w:line="360" w:lineRule="auto"/>
      <w:ind w:firstLine="200" w:firstLineChars="200"/>
    </w:pPr>
    <w:rPr>
      <w:rFonts w:ascii="宋体"/>
      <w:szCs w:val="20"/>
    </w:rPr>
  </w:style>
  <w:style w:type="table" w:styleId="26">
    <w:name w:val="Table Grid"/>
    <w:basedOn w:val="25"/>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rPr>
  </w:style>
  <w:style w:type="character" w:styleId="29">
    <w:name w:val="Emphasis"/>
    <w:qFormat/>
    <w:uiPriority w:val="0"/>
    <w:rPr>
      <w:i/>
    </w:rPr>
  </w:style>
  <w:style w:type="character" w:styleId="30">
    <w:name w:val="Hyperlink"/>
    <w:basedOn w:val="27"/>
    <w:unhideWhenUsed/>
    <w:uiPriority w:val="99"/>
    <w:rPr>
      <w:color w:val="0563C1" w:themeColor="hyperlink"/>
      <w:u w:val="single"/>
      <w14:textFill>
        <w14:solidFill>
          <w14:schemeClr w14:val="hlink"/>
        </w14:solidFill>
      </w14:textFill>
    </w:rPr>
  </w:style>
  <w:style w:type="character" w:customStyle="1" w:styleId="31">
    <w:name w:val="标题 1 字符"/>
    <w:basedOn w:val="27"/>
    <w:link w:val="2"/>
    <w:uiPriority w:val="9"/>
    <w:rPr>
      <w:rFonts w:eastAsia="仿宋" w:cs="宋体" w:asciiTheme="majorHAnsi" w:hAnsiTheme="majorHAnsi"/>
      <w:b/>
      <w:bCs/>
      <w:kern w:val="32"/>
      <w:sz w:val="24"/>
      <w:szCs w:val="32"/>
    </w:rPr>
  </w:style>
  <w:style w:type="paragraph" w:styleId="32">
    <w:name w:val="List Paragraph"/>
    <w:basedOn w:val="1"/>
    <w:qFormat/>
    <w:uiPriority w:val="34"/>
    <w:pPr>
      <w:widowControl/>
      <w:ind w:left="720"/>
      <w:contextualSpacing/>
      <w:jc w:val="left"/>
    </w:pPr>
    <w:rPr>
      <w:rFonts w:cs="Times New Roman"/>
      <w:kern w:val="0"/>
      <w:szCs w:val="24"/>
    </w:rPr>
  </w:style>
  <w:style w:type="table" w:customStyle="1" w:styleId="33">
    <w:name w:val="Grid Table 1 Light Accent 1"/>
    <w:basedOn w:val="25"/>
    <w:qFormat/>
    <w:uiPriority w:val="46"/>
    <w:rPr>
      <w:rFonts w:cs="Times New Roman"/>
      <w:kern w:val="0"/>
      <w:sz w:val="22"/>
    </w:rPr>
    <w:tblPr>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cPr>
        <w:tcBorders>
          <w:bottom w:val="single" w:color="8EAADB" w:themeColor="accent1" w:themeTint="99" w:sz="12" w:space="0"/>
        </w:tcBorders>
      </w:tcPr>
    </w:tblStylePr>
    <w:tblStylePr w:type="lastRow">
      <w:rPr>
        <w:b/>
        <w:bCs/>
      </w:rPr>
      <w:tcPr>
        <w:tcBorders>
          <w:top w:val="double" w:color="8EAADB" w:themeColor="accent1" w:themeTint="99" w:sz="2" w:space="0"/>
        </w:tcBorders>
      </w:tcPr>
    </w:tblStylePr>
    <w:tblStylePr w:type="firstCol">
      <w:rPr>
        <w:b/>
        <w:bCs/>
      </w:rPr>
    </w:tblStylePr>
    <w:tblStylePr w:type="lastCol">
      <w:rPr>
        <w:b/>
        <w:bCs/>
      </w:rPr>
    </w:tblStylePr>
  </w:style>
  <w:style w:type="character" w:customStyle="1" w:styleId="34">
    <w:name w:val="页眉 字符"/>
    <w:basedOn w:val="27"/>
    <w:link w:val="16"/>
    <w:uiPriority w:val="0"/>
    <w:rPr>
      <w:sz w:val="18"/>
      <w:szCs w:val="18"/>
    </w:rPr>
  </w:style>
  <w:style w:type="character" w:customStyle="1" w:styleId="35">
    <w:name w:val="页脚 字符"/>
    <w:basedOn w:val="27"/>
    <w:link w:val="15"/>
    <w:uiPriority w:val="0"/>
    <w:rPr>
      <w:sz w:val="18"/>
      <w:szCs w:val="18"/>
    </w:rPr>
  </w:style>
  <w:style w:type="character" w:customStyle="1" w:styleId="36">
    <w:name w:val="未处理的提及1"/>
    <w:basedOn w:val="27"/>
    <w:semiHidden/>
    <w:unhideWhenUsed/>
    <w:uiPriority w:val="99"/>
    <w:rPr>
      <w:color w:val="605E5C"/>
      <w:shd w:val="clear" w:color="auto" w:fill="E1DFDD"/>
    </w:rPr>
  </w:style>
  <w:style w:type="character" w:customStyle="1" w:styleId="37">
    <w:name w:val="标题 2 字符"/>
    <w:basedOn w:val="27"/>
    <w:link w:val="3"/>
    <w:uiPriority w:val="9"/>
    <w:rPr>
      <w:rFonts w:asciiTheme="majorHAnsi" w:hAnsiTheme="majorHAnsi" w:eastAsiaTheme="majorEastAsia" w:cstheme="majorBidi"/>
      <w:b/>
      <w:bCs/>
      <w:sz w:val="32"/>
      <w:szCs w:val="32"/>
    </w:rPr>
  </w:style>
  <w:style w:type="character" w:customStyle="1" w:styleId="38">
    <w:name w:val="正文文本 字符"/>
    <w:basedOn w:val="27"/>
    <w:link w:val="8"/>
    <w:qFormat/>
    <w:uiPriority w:val="99"/>
    <w:rPr>
      <w:rFonts w:ascii="Calibri" w:hAnsi="Calibri" w:eastAsia="宋体" w:cs="Times New Roman"/>
      <w:szCs w:val="24"/>
    </w:rPr>
  </w:style>
  <w:style w:type="character" w:customStyle="1" w:styleId="39">
    <w:name w:val="标题 3 字符"/>
    <w:basedOn w:val="27"/>
    <w:link w:val="4"/>
    <w:uiPriority w:val="9"/>
    <w:rPr>
      <w:rFonts w:eastAsia="仿宋"/>
      <w:b/>
      <w:bCs/>
      <w:sz w:val="32"/>
      <w:szCs w:val="32"/>
    </w:rPr>
  </w:style>
  <w:style w:type="character" w:customStyle="1" w:styleId="40">
    <w:name w:val="bjh-p"/>
    <w:basedOn w:val="27"/>
    <w:uiPriority w:val="0"/>
  </w:style>
  <w:style w:type="character" w:customStyle="1" w:styleId="41">
    <w:name w:val="bjh-strong"/>
    <w:basedOn w:val="27"/>
    <w:uiPriority w:val="0"/>
  </w:style>
  <w:style w:type="paragraph" w:customStyle="1" w:styleId="42">
    <w:name w:val="_Style 5"/>
    <w:qFormat/>
    <w:uiPriority w:val="0"/>
    <w:pPr>
      <w:widowControl w:val="0"/>
      <w:ind w:firstLine="200" w:firstLineChars="200"/>
      <w:jc w:val="both"/>
    </w:pPr>
    <w:rPr>
      <w:rFonts w:ascii="Times New Roman" w:hAnsi="Times New Roman" w:eastAsia="宋体" w:cs="Times New Roman"/>
      <w:kern w:val="2"/>
      <w:sz w:val="24"/>
      <w:szCs w:val="20"/>
      <w:lang w:val="en-US" w:eastAsia="zh-CN" w:bidi="ar-SA"/>
    </w:rPr>
  </w:style>
  <w:style w:type="table" w:customStyle="1" w:styleId="43">
    <w:name w:val="Grid Table 4 Accent 5"/>
    <w:basedOn w:val="25"/>
    <w:uiPriority w:val="49"/>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44">
    <w:name w:val="Grid Table 4 Accent 1"/>
    <w:basedOn w:val="25"/>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45">
    <w:name w:val="日期 字符"/>
    <w:basedOn w:val="27"/>
    <w:link w:val="13"/>
    <w:semiHidden/>
    <w:uiPriority w:val="99"/>
    <w:rPr>
      <w:rFonts w:eastAsia="仿宋"/>
      <w:sz w:val="24"/>
    </w:rPr>
  </w:style>
  <w:style w:type="character" w:customStyle="1" w:styleId="46">
    <w:name w:val="Unresolved Mention"/>
    <w:basedOn w:val="27"/>
    <w:semiHidden/>
    <w:unhideWhenUsed/>
    <w:uiPriority w:val="99"/>
    <w:rPr>
      <w:color w:val="605E5C"/>
      <w:shd w:val="clear" w:color="auto" w:fill="E1DFDD"/>
    </w:rPr>
  </w:style>
  <w:style w:type="paragraph" w:customStyle="1" w:styleId="47">
    <w:name w:val="Revision"/>
    <w:hidden/>
    <w:semiHidden/>
    <w:uiPriority w:val="99"/>
    <w:rPr>
      <w:rFonts w:eastAsia="仿宋" w:asciiTheme="minorHAnsi" w:hAnsiTheme="minorHAnsi" w:cstheme="minorBidi"/>
      <w:kern w:val="2"/>
      <w:sz w:val="24"/>
      <w:szCs w:val="22"/>
      <w:lang w:val="en-US" w:eastAsia="zh-CN" w:bidi="ar-SA"/>
    </w:rPr>
  </w:style>
  <w:style w:type="paragraph" w:customStyle="1" w:styleId="48">
    <w:name w:val="a正文"/>
    <w:basedOn w:val="1"/>
    <w:link w:val="49"/>
    <w:qFormat/>
    <w:uiPriority w:val="0"/>
    <w:pPr>
      <w:widowControl/>
      <w:topLinePunct/>
    </w:pPr>
    <w:rPr>
      <w:rFonts w:ascii="Times New Roman" w:hAnsi="Times New Roman"/>
      <w:kern w:val="0"/>
      <w:szCs w:val="24"/>
    </w:rPr>
  </w:style>
  <w:style w:type="character" w:customStyle="1" w:styleId="49">
    <w:name w:val="a正文 Char"/>
    <w:basedOn w:val="27"/>
    <w:link w:val="48"/>
    <w:uiPriority w:val="0"/>
    <w:rPr>
      <w:rFonts w:ascii="Times New Roman" w:hAnsi="Times New Roman" w:eastAsia="仿宋"/>
      <w:kern w:val="0"/>
      <w:sz w:val="24"/>
      <w:szCs w:val="24"/>
    </w:rPr>
  </w:style>
  <w:style w:type="table" w:customStyle="1" w:styleId="50">
    <w:name w:val="Grid Table 6 Colorful Accent 5"/>
    <w:basedOn w:val="25"/>
    <w:uiPriority w:val="51"/>
    <w:rPr>
      <w:color w:val="2E75B6" w:themeColor="accent5" w:themeShade="BF"/>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paragraph" w:customStyle="1" w:styleId="51">
    <w:name w:val="TOC Heading"/>
    <w:basedOn w:val="2"/>
    <w:next w:val="1"/>
    <w:unhideWhenUsed/>
    <w:qFormat/>
    <w:uiPriority w:val="39"/>
    <w:pPr>
      <w:keepLines/>
      <w:spacing w:before="240" w:line="259" w:lineRule="auto"/>
      <w:outlineLvl w:val="9"/>
    </w:pPr>
    <w:rPr>
      <w:rFonts w:eastAsiaTheme="majorEastAsia" w:cstheme="majorBidi"/>
      <w:b w:val="0"/>
      <w:bCs w:val="0"/>
      <w:color w:val="2F5597" w:themeColor="accent1" w:themeShade="BF"/>
      <w:kern w:val="0"/>
      <w:sz w:val="32"/>
    </w:rPr>
  </w:style>
  <w:style w:type="table" w:customStyle="1" w:styleId="52">
    <w:name w:val="Grid Table 3 Accent 5"/>
    <w:basedOn w:val="25"/>
    <w:uiPriority w:val="48"/>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5" w:themeFillTint="33"/>
      </w:tcPr>
    </w:tblStylePr>
    <w:tblStylePr w:type="band1Horz">
      <w:tcPr>
        <w:shd w:val="clear" w:color="auto" w:fill="DEEAF6" w:themeFill="accent5" w:themeFillTint="33"/>
      </w:tcPr>
    </w:tblStylePr>
    <w:tblStylePr w:type="neCell">
      <w:tcPr>
        <w:tcBorders>
          <w:bottom w:val="single" w:color="9CC2E5" w:themeColor="accent5" w:themeTint="99" w:sz="4" w:space="0"/>
        </w:tcBorders>
      </w:tcPr>
    </w:tblStylePr>
    <w:tblStylePr w:type="nwCell">
      <w:tcPr>
        <w:tcBorders>
          <w:bottom w:val="single" w:color="9CC2E5" w:themeColor="accent5" w:themeTint="99" w:sz="4" w:space="0"/>
        </w:tcBorders>
      </w:tcPr>
    </w:tblStylePr>
    <w:tblStylePr w:type="seCell">
      <w:tcPr>
        <w:tcBorders>
          <w:top w:val="single" w:color="9CC2E5" w:themeColor="accent5" w:themeTint="99" w:sz="4" w:space="0"/>
        </w:tcBorders>
      </w:tcPr>
    </w:tblStylePr>
    <w:tblStylePr w:type="swCell">
      <w:tcPr>
        <w:tcBorders>
          <w:top w:val="single" w:color="9CC2E5" w:themeColor="accent5" w:themeTint="99" w:sz="4" w:space="0"/>
        </w:tcBorders>
      </w:tcPr>
    </w:tblStylePr>
  </w:style>
  <w:style w:type="character" w:customStyle="1" w:styleId="53">
    <w:name w:val="正文文本缩进 2 字符"/>
    <w:basedOn w:val="27"/>
    <w:link w:val="14"/>
    <w:semiHidden/>
    <w:uiPriority w:val="99"/>
    <w:rPr>
      <w:rFonts w:eastAsia="仿宋"/>
      <w:sz w:val="24"/>
    </w:rPr>
  </w:style>
  <w:style w:type="character" w:customStyle="1" w:styleId="54">
    <w:name w:val="wx_search_keyword_wrap"/>
    <w:basedOn w:val="27"/>
    <w:uiPriority w:val="0"/>
  </w:style>
  <w:style w:type="character" w:customStyle="1" w:styleId="55">
    <w:name w:val="标题 4 字符"/>
    <w:basedOn w:val="27"/>
    <w:link w:val="5"/>
    <w:semiHidden/>
    <w:uiPriority w:val="9"/>
    <w:rPr>
      <w:rFonts w:asciiTheme="majorHAnsi" w:hAnsiTheme="majorHAnsi" w:eastAsiaTheme="majorEastAsia" w:cstheme="majorBidi"/>
      <w:b/>
      <w:bCs/>
      <w:sz w:val="28"/>
      <w:szCs w:val="28"/>
    </w:rPr>
  </w:style>
  <w:style w:type="table" w:customStyle="1" w:styleId="56">
    <w:name w:val="Grid Table 1 Light Accent 5"/>
    <w:basedOn w:val="25"/>
    <w:uiPriority w:val="46"/>
    <w:tblPr>
      <w:tblBorders>
        <w:top w:val="single" w:color="BDD6EE" w:themeColor="accent5" w:themeTint="66" w:sz="4" w:space="0"/>
        <w:left w:val="single" w:color="BDD6EE" w:themeColor="accent5" w:themeTint="66" w:sz="4" w:space="0"/>
        <w:bottom w:val="single" w:color="BDD6EE" w:themeColor="accent5" w:themeTint="66" w:sz="4" w:space="0"/>
        <w:right w:val="single" w:color="BDD6EE" w:themeColor="accent5" w:themeTint="66" w:sz="4" w:space="0"/>
        <w:insideH w:val="single" w:color="BDD6EE" w:themeColor="accent5" w:themeTint="66" w:sz="4" w:space="0"/>
        <w:insideV w:val="single" w:color="BDD6EE" w:themeColor="accent5" w:themeTint="66" w:sz="4" w:space="0"/>
      </w:tblBorders>
    </w:tblPr>
    <w:tblStylePr w:type="firstRow">
      <w:rPr>
        <w:b/>
        <w:bCs/>
      </w:rPr>
      <w:tcPr>
        <w:tcBorders>
          <w:bottom w:val="single" w:color="9CC2E5" w:themeColor="accent5" w:themeTint="99" w:sz="12" w:space="0"/>
        </w:tcBorders>
      </w:tcPr>
    </w:tblStylePr>
    <w:tblStylePr w:type="lastRow">
      <w:rPr>
        <w:b/>
        <w:bCs/>
      </w:rPr>
      <w:tcPr>
        <w:tcBorders>
          <w:top w:val="double" w:color="9CC2E5" w:themeColor="accent5" w:themeTint="99" w:sz="2" w:space="0"/>
        </w:tcBorders>
      </w:tcPr>
    </w:tblStylePr>
    <w:tblStylePr w:type="firstCol">
      <w:rPr>
        <w:b/>
        <w:bCs/>
      </w:rPr>
    </w:tblStylePr>
    <w:tblStylePr w:type="lastCol">
      <w:rPr>
        <w:b/>
        <w:bCs/>
      </w:rPr>
    </w:tblStylePr>
  </w:style>
  <w:style w:type="character" w:customStyle="1" w:styleId="57">
    <w:name w:val="标题 5 字符"/>
    <w:basedOn w:val="27"/>
    <w:link w:val="6"/>
    <w:uiPriority w:val="0"/>
    <w:rPr>
      <w:rFonts w:ascii="宋体" w:hAnsi="宋体" w:eastAsia="宋体" w:cs="Times New Roman"/>
      <w:b/>
      <w:bCs/>
      <w:kern w:val="0"/>
      <w:sz w:val="20"/>
      <w:szCs w:val="20"/>
    </w:rPr>
  </w:style>
  <w:style w:type="character" w:customStyle="1" w:styleId="58">
    <w:name w:val="正文文本缩进 字符"/>
    <w:basedOn w:val="27"/>
    <w:link w:val="10"/>
    <w:uiPriority w:val="99"/>
    <w:rPr>
      <w:rFonts w:ascii="Calibri" w:hAnsi="Calibri" w:eastAsia="宋体" w:cs="Times New Roman"/>
      <w:szCs w:val="24"/>
    </w:rPr>
  </w:style>
  <w:style w:type="character" w:customStyle="1" w:styleId="59">
    <w:name w:val="副标题 字符"/>
    <w:basedOn w:val="27"/>
    <w:link w:val="18"/>
    <w:uiPriority w:val="11"/>
    <w:rPr>
      <w:rFonts w:ascii="宋体" w:hAnsi="宋体" w:eastAsia="方正仿宋_GB2312" w:cs="Times New Roman"/>
      <w:b/>
      <w:bCs/>
      <w:kern w:val="0"/>
      <w:sz w:val="30"/>
      <w:szCs w:val="36"/>
    </w:rPr>
  </w:style>
  <w:style w:type="character" w:customStyle="1" w:styleId="60">
    <w:name w:val="HTML 预设格式 字符"/>
    <w:basedOn w:val="27"/>
    <w:link w:val="20"/>
    <w:uiPriority w:val="0"/>
    <w:rPr>
      <w:rFonts w:ascii="宋体" w:hAnsi="宋体" w:eastAsia="宋体" w:cs="Times New Roman"/>
      <w:kern w:val="0"/>
      <w:sz w:val="24"/>
      <w:szCs w:val="24"/>
    </w:rPr>
  </w:style>
  <w:style w:type="character" w:customStyle="1" w:styleId="61">
    <w:name w:val="标题 字符"/>
    <w:basedOn w:val="27"/>
    <w:link w:val="22"/>
    <w:uiPriority w:val="10"/>
    <w:rPr>
      <w:rFonts w:ascii="宋体" w:hAnsi="宋体" w:eastAsia="黑体" w:cs="Times New Roman"/>
      <w:bCs/>
      <w:kern w:val="44"/>
      <w:sz w:val="36"/>
      <w:szCs w:val="48"/>
    </w:rPr>
  </w:style>
  <w:style w:type="character" w:customStyle="1" w:styleId="62">
    <w:name w:val="正文文本首行缩进 字符"/>
    <w:basedOn w:val="38"/>
    <w:link w:val="23"/>
    <w:uiPriority w:val="0"/>
    <w:rPr>
      <w:rFonts w:ascii="Calibri" w:hAnsi="Calibri" w:eastAsia="宋体" w:cs="Times New Roman"/>
      <w:szCs w:val="24"/>
    </w:rPr>
  </w:style>
  <w:style w:type="character" w:customStyle="1" w:styleId="63">
    <w:name w:val="正文文本首行缩进 2 字符"/>
    <w:basedOn w:val="58"/>
    <w:link w:val="24"/>
    <w:qFormat/>
    <w:uiPriority w:val="99"/>
    <w:rPr>
      <w:rFonts w:ascii="宋体" w:hAnsi="Calibri" w:eastAsia="宋体" w:cs="Times New Roman"/>
      <w:szCs w:val="20"/>
    </w:rPr>
  </w:style>
  <w:style w:type="paragraph" w:customStyle="1" w:styleId="64">
    <w:name w:val="reader-word-layer"/>
    <w:basedOn w:val="1"/>
    <w:qFormat/>
    <w:uiPriority w:val="0"/>
    <w:pPr>
      <w:widowControl/>
      <w:spacing w:before="100" w:beforeAutospacing="1" w:after="100" w:afterAutospacing="1" w:line="240" w:lineRule="auto"/>
      <w:ind w:firstLine="0" w:firstLineChars="0"/>
      <w:jc w:val="left"/>
    </w:pPr>
    <w:rPr>
      <w:rFonts w:ascii="宋体" w:hAnsi="宋体" w:eastAsia="宋体" w:cs="宋体"/>
      <w:kern w:val="0"/>
      <w:szCs w:val="24"/>
    </w:rPr>
  </w:style>
  <w:style w:type="character" w:customStyle="1" w:styleId="65">
    <w:name w:val="font101"/>
    <w:basedOn w:val="27"/>
    <w:qFormat/>
    <w:uiPriority w:val="0"/>
    <w:rPr>
      <w:rFonts w:ascii="方正仿宋_GBK" w:hAnsi="方正仿宋_GBK" w:eastAsia="方正仿宋_GBK" w:cs="方正仿宋_GBK"/>
      <w:color w:val="000000"/>
      <w:sz w:val="24"/>
      <w:szCs w:val="24"/>
      <w:u w:val="none"/>
    </w:rPr>
  </w:style>
  <w:style w:type="paragraph" w:customStyle="1" w:styleId="66">
    <w:name w:val="_Style 16"/>
    <w:basedOn w:val="1"/>
    <w:qFormat/>
    <w:uiPriority w:val="0"/>
    <w:pPr>
      <w:widowControl/>
      <w:spacing w:after="160" w:line="240" w:lineRule="exact"/>
      <w:ind w:firstLine="0" w:firstLineChars="0"/>
      <w:jc w:val="left"/>
    </w:pPr>
    <w:rPr>
      <w:rFonts w:ascii="Arial" w:hAnsi="Arial" w:eastAsia="Times New Roman" w:cs="Verdana"/>
      <w:b/>
      <w:kern w:val="0"/>
      <w:szCs w:val="24"/>
      <w:lang w:eastAsia="en-US"/>
    </w:rPr>
  </w:style>
  <w:style w:type="character" w:customStyle="1" w:styleId="67">
    <w:name w:val="font91"/>
    <w:basedOn w:val="27"/>
    <w:qFormat/>
    <w:uiPriority w:val="0"/>
    <w:rPr>
      <w:rFonts w:hint="eastAsia" w:ascii="方正仿宋_GBK" w:hAnsi="方正仿宋_GBK" w:eastAsia="方正仿宋_GBK" w:cs="方正仿宋_GBK"/>
      <w:color w:val="000000"/>
      <w:sz w:val="24"/>
      <w:szCs w:val="24"/>
      <w:u w:val="none"/>
    </w:rPr>
  </w:style>
  <w:style w:type="character" w:customStyle="1" w:styleId="68">
    <w:name w:val="font111"/>
    <w:basedOn w:val="27"/>
    <w:qFormat/>
    <w:uiPriority w:val="0"/>
    <w:rPr>
      <w:rFonts w:hint="eastAsia" w:ascii="方正仿宋_GBK" w:hAnsi="方正仿宋_GBK" w:eastAsia="方正仿宋_GBK" w:cs="方正仿宋_GBK"/>
      <w:b/>
      <w:color w:val="000000"/>
      <w:sz w:val="24"/>
      <w:szCs w:val="24"/>
      <w:u w:val="none"/>
    </w:rPr>
  </w:style>
  <w:style w:type="character" w:customStyle="1" w:styleId="69">
    <w:name w:val="font51"/>
    <w:basedOn w:val="27"/>
    <w:qFormat/>
    <w:uiPriority w:val="0"/>
    <w:rPr>
      <w:rFonts w:ascii="仿宋" w:hAnsi="仿宋" w:eastAsia="仿宋" w:cs="仿宋"/>
      <w:color w:val="000000"/>
      <w:sz w:val="24"/>
      <w:szCs w:val="24"/>
      <w:u w:val="none"/>
    </w:rPr>
  </w:style>
  <w:style w:type="character" w:customStyle="1" w:styleId="70">
    <w:name w:val="font41"/>
    <w:basedOn w:val="27"/>
    <w:qFormat/>
    <w:uiPriority w:val="0"/>
    <w:rPr>
      <w:rFonts w:hint="eastAsia" w:ascii="仿宋" w:hAnsi="仿宋" w:eastAsia="仿宋" w:cs="仿宋"/>
      <w:b/>
      <w:color w:val="000000"/>
      <w:sz w:val="24"/>
      <w:szCs w:val="24"/>
      <w:u w:val="none"/>
    </w:rPr>
  </w:style>
  <w:style w:type="paragraph" w:customStyle="1" w:styleId="71">
    <w:name w:val="null3"/>
    <w:uiPriority w:val="0"/>
    <w:rPr>
      <w:rFonts w:hint="eastAsia" w:ascii="Calibri" w:hAnsi="Calibri" w:eastAsia="宋体" w:cs="Times New Roman"/>
      <w:kern w:val="0"/>
      <w:sz w:val="20"/>
      <w:szCs w:val="20"/>
      <w:lang w:val="en-US" w:eastAsia="zh-Han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8.jpeg"/><Relationship Id="rId23" Type="http://schemas.openxmlformats.org/officeDocument/2006/relationships/image" Target="https://pics6.baidu.com/feed/f3d3572c11dfa9ec78169bf89d44b70c908fc14e.jpeg@f_auto?token=446adba102cac42027b106efd11c0248" TargetMode="External"/><Relationship Id="rId22" Type="http://schemas.openxmlformats.org/officeDocument/2006/relationships/image" Target="media/image7.jpeg"/><Relationship Id="rId21" Type="http://schemas.openxmlformats.org/officeDocument/2006/relationships/image" Target="https://nimg.ws.126.net/?url=http://dingyue.ws.126.net/2025/0115/d10547d3j00sq3z4n012md200u000i1g00it00ba.jpg%26thumbnail=660x2147483647%26quality=80%26type=jpg" TargetMode="Externa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https://mmbiz.qpic.cn/sz_mmbiz_png/VSTe3ObDH68xg3vobCXQrASOFaQQh1ICspC6SgTDhKdsg1jwfdS2d3mfHHesrnroArPHXh68hic6iat1kHyMI0rA/640?wx_fmt=png%26from=appmsg%26wxfrom=13" TargetMode="Externa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https://mmbiz.qpic.cn/sz_mmbiz_png/vApGlM2TFDtG5DcKGqjPXib2mnX3ibEjiaNaoMZ863OkpnmY6tDk8S7NeWMCvGMu4DJ0ZiahgXUBYwH3ZInYp1HjbQ/640?wx_fmt=png%26wxfrom=13" TargetMode="External"/><Relationship Id="rId15" Type="http://schemas.openxmlformats.org/officeDocument/2006/relationships/image" Target="media/image3.png"/><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98FB22-D9ED-4E42-96B4-6C7121E4702E}">
  <ds:schemaRefs/>
</ds:datastoreItem>
</file>

<file path=docProps/app.xml><?xml version="1.0" encoding="utf-8"?>
<Properties xmlns="http://schemas.openxmlformats.org/officeDocument/2006/extended-properties" xmlns:vt="http://schemas.openxmlformats.org/officeDocument/2006/docPropsVTypes">
  <Template>Normal</Template>
  <Pages>17</Pages>
  <Words>7182</Words>
  <Characters>7661</Characters>
  <Lines>79</Lines>
  <Paragraphs>22</Paragraphs>
  <TotalTime>148</TotalTime>
  <ScaleCrop>false</ScaleCrop>
  <LinksUpToDate>false</LinksUpToDate>
  <CharactersWithSpaces>7826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2025-01-10T08:59:00Z</dcterms:created>
  <dc:creator>微软中国</dc:creator>
  <cp:lastModifiedBy>含泪的微笑</cp:lastModifiedBy>
  <cp:lastPrinted>2024-09-04T06:25:00Z</cp:lastPrinted>
  <dcterms:modified xsi:type="dcterms:W3CDTF">2025-02-11T00:56:57Z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3F1DE5507501426DB115FD1E09FA8186_13</vt:lpwstr>
  </property>
</Properties>
</file>